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spacing w:line="360" w:lineRule="auto"/>
        <w:jc w:val="center"/>
        <w:outlineLvl w:val="0"/>
        <w:rPr>
          <w:rFonts w:hint="eastAsia" w:ascii="Times New Roman" w:hAnsi="Times New Roman" w:eastAsia="宋体" w:cs="Times New Roman"/>
          <w:b/>
          <w:sz w:val="32"/>
          <w:szCs w:val="24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b/>
          <w:sz w:val="32"/>
          <w:szCs w:val="24"/>
          <w:lang w:val="en-US" w:eastAsia="zh-CN" w:bidi="ar-SA"/>
        </w:rPr>
        <w:t>烟台近江汽车零部件有限公司汽车零部件（管件）加工项目</w:t>
      </w:r>
    </w:p>
    <w:p>
      <w:pPr>
        <w:spacing w:line="360" w:lineRule="auto"/>
        <w:jc w:val="center"/>
        <w:outlineLvl w:val="0"/>
        <w:rPr>
          <w:b/>
          <w:sz w:val="24"/>
          <w:szCs w:val="30"/>
        </w:rPr>
      </w:pPr>
      <w:r>
        <w:rPr>
          <w:b/>
          <w:sz w:val="36"/>
          <w:szCs w:val="44"/>
        </w:rPr>
        <w:t>竣工环境保护验收工作组意见</w:t>
      </w:r>
    </w:p>
    <w:p>
      <w:pPr>
        <w:spacing w:line="360" w:lineRule="auto"/>
        <w:ind w:firstLine="472" w:firstLineChars="196"/>
        <w:rPr>
          <w:b/>
          <w:sz w:val="24"/>
          <w:szCs w:val="24"/>
        </w:rPr>
      </w:pPr>
    </w:p>
    <w:p>
      <w:pPr>
        <w:adjustRightInd w:val="0"/>
        <w:snapToGrid w:val="0"/>
        <w:spacing w:line="360" w:lineRule="auto"/>
        <w:ind w:firstLine="472" w:firstLineChars="196"/>
        <w:rPr>
          <w:color w:val="auto"/>
          <w:sz w:val="24"/>
          <w:szCs w:val="24"/>
        </w:rPr>
      </w:pPr>
      <w:bookmarkStart w:id="2" w:name="_GoBack"/>
      <w:r>
        <w:rPr>
          <w:b/>
          <w:color w:val="auto"/>
          <w:sz w:val="24"/>
          <w:szCs w:val="24"/>
        </w:rPr>
        <w:t>根据国环规环评[2017]4号关于发布《建设项目竣工环境保护验收暂行办法》的公告，严格依照国家有关法律法规、建设项目竣工环境保护验收技术规范、本项目环境影响评价报告</w:t>
      </w:r>
      <w:r>
        <w:rPr>
          <w:rFonts w:hint="eastAsia"/>
          <w:b/>
          <w:color w:val="auto"/>
          <w:sz w:val="24"/>
          <w:szCs w:val="24"/>
        </w:rPr>
        <w:t>书</w:t>
      </w:r>
      <w:r>
        <w:rPr>
          <w:b/>
          <w:color w:val="auto"/>
          <w:sz w:val="24"/>
          <w:szCs w:val="24"/>
        </w:rPr>
        <w:t>和审批部门审批决定等要求对本项目进行验收，形成验收意见如下：</w:t>
      </w:r>
    </w:p>
    <w:p>
      <w:pPr>
        <w:adjustRightInd w:val="0"/>
        <w:snapToGrid w:val="0"/>
        <w:spacing w:line="360" w:lineRule="auto"/>
        <w:ind w:firstLine="474" w:firstLineChars="200"/>
        <w:outlineLvl w:val="0"/>
        <w:rPr>
          <w:b/>
          <w:color w:val="auto"/>
          <w:spacing w:val="-2"/>
          <w:kern w:val="0"/>
          <w:sz w:val="24"/>
          <w:szCs w:val="24"/>
        </w:rPr>
      </w:pPr>
      <w:r>
        <w:rPr>
          <w:b/>
          <w:color w:val="auto"/>
          <w:spacing w:val="-2"/>
          <w:kern w:val="0"/>
          <w:sz w:val="24"/>
          <w:szCs w:val="24"/>
        </w:rPr>
        <w:t>一、工程基本情况</w:t>
      </w:r>
    </w:p>
    <w:p>
      <w:pPr>
        <w:pStyle w:val="23"/>
        <w:spacing w:after="0" w:line="360" w:lineRule="auto"/>
        <w:ind w:left="0" w:leftChars="0" w:firstLine="480"/>
        <w:rPr>
          <w:color w:val="auto"/>
          <w:kern w:val="0"/>
          <w:sz w:val="24"/>
        </w:rPr>
      </w:pPr>
      <w:r>
        <w:rPr>
          <w:rFonts w:hint="eastAsia" w:eastAsia="宋体"/>
          <w:color w:val="auto"/>
          <w:kern w:val="0"/>
          <w:sz w:val="24"/>
          <w:lang w:val="en-US" w:eastAsia="zh-CN"/>
        </w:rPr>
        <w:t>烟台近江汽车零部件有限公司</w:t>
      </w:r>
      <w:r>
        <w:rPr>
          <w:rFonts w:hint="eastAsia" w:eastAsia="宋体"/>
          <w:color w:val="auto"/>
          <w:kern w:val="0"/>
          <w:sz w:val="24"/>
          <w:lang w:val="zh-CN"/>
        </w:rPr>
        <w:t>于202</w:t>
      </w:r>
      <w:r>
        <w:rPr>
          <w:rFonts w:hint="eastAsia" w:eastAsia="宋体"/>
          <w:color w:val="auto"/>
          <w:kern w:val="0"/>
          <w:sz w:val="24"/>
          <w:lang w:val="en-US" w:eastAsia="zh-CN"/>
        </w:rPr>
        <w:t>5</w:t>
      </w:r>
      <w:r>
        <w:rPr>
          <w:rFonts w:hint="eastAsia" w:eastAsia="宋体"/>
          <w:color w:val="auto"/>
          <w:kern w:val="0"/>
          <w:sz w:val="24"/>
          <w:lang w:val="zh-CN"/>
        </w:rPr>
        <w:t>年</w:t>
      </w:r>
      <w:r>
        <w:rPr>
          <w:rFonts w:hint="eastAsia" w:eastAsia="宋体"/>
          <w:color w:val="auto"/>
          <w:kern w:val="0"/>
          <w:sz w:val="24"/>
          <w:lang w:val="en-US" w:eastAsia="zh-CN"/>
        </w:rPr>
        <w:t>12</w:t>
      </w:r>
      <w:r>
        <w:rPr>
          <w:rFonts w:hint="eastAsia" w:eastAsia="宋体"/>
          <w:color w:val="auto"/>
          <w:kern w:val="0"/>
          <w:sz w:val="24"/>
          <w:lang w:val="zh-CN"/>
        </w:rPr>
        <w:t>月编制完成《</w:t>
      </w:r>
      <w:bookmarkStart w:id="0" w:name="OLE_LINK1"/>
      <w:r>
        <w:rPr>
          <w:rFonts w:hint="eastAsia" w:eastAsia="宋体"/>
          <w:color w:val="auto"/>
          <w:kern w:val="0"/>
          <w:sz w:val="24"/>
          <w:lang w:val="en-US" w:eastAsia="zh-CN"/>
        </w:rPr>
        <w:t>烟台近江汽车零部件有限公司汽车零部件（管件）加工项目</w:t>
      </w:r>
      <w:bookmarkEnd w:id="0"/>
      <w:r>
        <w:rPr>
          <w:rFonts w:hint="eastAsia"/>
          <w:color w:val="auto"/>
          <w:kern w:val="0"/>
          <w:sz w:val="24"/>
        </w:rPr>
        <w:t>环境影响报告书》，项目位于</w:t>
      </w:r>
      <w:r>
        <w:rPr>
          <w:rFonts w:hint="eastAsia" w:cs="Times New Roman"/>
          <w:color w:val="auto"/>
          <w:sz w:val="24"/>
          <w:szCs w:val="24"/>
          <w:vertAlign w:val="baseline"/>
          <w:lang w:val="en-US" w:eastAsia="zh-CN"/>
        </w:rPr>
        <w:t>烟台市福山区福新街道魏山路65号</w:t>
      </w:r>
      <w:r>
        <w:rPr>
          <w:rFonts w:hint="eastAsia"/>
          <w:color w:val="auto"/>
          <w:kern w:val="0"/>
          <w:sz w:val="24"/>
          <w:lang w:val="zh-CN"/>
        </w:rPr>
        <w:t>，</w:t>
      </w:r>
      <w:r>
        <w:rPr>
          <w:rFonts w:hint="eastAsia"/>
          <w:color w:val="auto"/>
          <w:kern w:val="0"/>
          <w:sz w:val="24"/>
        </w:rPr>
        <w:t>项目实际投资</w:t>
      </w:r>
      <w:r>
        <w:rPr>
          <w:rFonts w:hint="eastAsia"/>
          <w:color w:val="auto"/>
          <w:kern w:val="0"/>
          <w:sz w:val="24"/>
          <w:lang w:val="en-US" w:eastAsia="zh-CN"/>
        </w:rPr>
        <w:t>980</w:t>
      </w:r>
      <w:r>
        <w:rPr>
          <w:rFonts w:hint="eastAsia"/>
          <w:color w:val="auto"/>
          <w:kern w:val="0"/>
          <w:sz w:val="24"/>
          <w:lang w:val="zh-CN"/>
        </w:rPr>
        <w:t>万元，</w:t>
      </w:r>
      <w:r>
        <w:rPr>
          <w:rFonts w:hint="eastAsia"/>
          <w:color w:val="auto"/>
          <w:kern w:val="0"/>
          <w:sz w:val="24"/>
        </w:rPr>
        <w:t>其中环保投资</w:t>
      </w:r>
      <w:r>
        <w:rPr>
          <w:rFonts w:hint="eastAsia"/>
          <w:color w:val="auto"/>
          <w:kern w:val="0"/>
          <w:sz w:val="24"/>
          <w:lang w:val="en-US" w:eastAsia="zh-CN"/>
        </w:rPr>
        <w:t>120</w:t>
      </w:r>
      <w:r>
        <w:rPr>
          <w:rFonts w:hint="eastAsia"/>
          <w:color w:val="auto"/>
          <w:kern w:val="0"/>
          <w:sz w:val="24"/>
          <w:lang w:val="zh-CN"/>
        </w:rPr>
        <w:t>万元。</w:t>
      </w:r>
      <w:r>
        <w:rPr>
          <w:rFonts w:hint="eastAsia"/>
          <w:color w:val="auto"/>
          <w:kern w:val="0"/>
          <w:sz w:val="24"/>
        </w:rPr>
        <w:t>本项目主要建设内容包括</w:t>
      </w:r>
      <w:r>
        <w:rPr>
          <w:rFonts w:hint="eastAsia"/>
          <w:color w:val="auto"/>
          <w:kern w:val="0"/>
          <w:sz w:val="24"/>
          <w:lang w:val="en-US" w:eastAsia="zh-CN"/>
        </w:rPr>
        <w:t>生产区、办公区及</w:t>
      </w:r>
      <w:r>
        <w:rPr>
          <w:rFonts w:hint="eastAsia"/>
          <w:color w:val="auto"/>
          <w:kern w:val="0"/>
          <w:sz w:val="24"/>
        </w:rPr>
        <w:t>配套的储运工程、公用工程、环保工程等，设计生产规模为</w:t>
      </w:r>
      <w:r>
        <w:rPr>
          <w:rFonts w:hint="eastAsia"/>
          <w:color w:val="auto"/>
          <w:kern w:val="0"/>
          <w:sz w:val="24"/>
          <w:lang w:val="en-US" w:eastAsia="zh-CN"/>
        </w:rPr>
        <w:t>排气管12万套</w:t>
      </w:r>
      <w:r>
        <w:rPr>
          <w:rFonts w:hint="eastAsia"/>
          <w:color w:val="auto"/>
          <w:kern w:val="0"/>
          <w:sz w:val="24"/>
        </w:rPr>
        <w:t>。烟台市生态环境局</w:t>
      </w:r>
      <w:r>
        <w:rPr>
          <w:rFonts w:hint="eastAsia"/>
          <w:color w:val="auto"/>
          <w:kern w:val="0"/>
          <w:sz w:val="24"/>
          <w:lang w:val="en-US" w:eastAsia="zh-CN"/>
        </w:rPr>
        <w:t>福山</w:t>
      </w:r>
      <w:r>
        <w:rPr>
          <w:rFonts w:hint="eastAsia"/>
          <w:color w:val="auto"/>
          <w:kern w:val="0"/>
          <w:sz w:val="24"/>
        </w:rPr>
        <w:t>分局于202</w:t>
      </w:r>
      <w:r>
        <w:rPr>
          <w:rFonts w:hint="eastAsia"/>
          <w:color w:val="auto"/>
          <w:kern w:val="0"/>
          <w:sz w:val="24"/>
          <w:lang w:val="en-US" w:eastAsia="zh-CN"/>
        </w:rPr>
        <w:t>5</w:t>
      </w:r>
      <w:r>
        <w:rPr>
          <w:rFonts w:hint="eastAsia"/>
          <w:color w:val="auto"/>
          <w:kern w:val="0"/>
          <w:sz w:val="24"/>
        </w:rPr>
        <w:t>年</w:t>
      </w:r>
      <w:r>
        <w:rPr>
          <w:rFonts w:hint="eastAsia"/>
          <w:color w:val="auto"/>
          <w:kern w:val="0"/>
          <w:sz w:val="24"/>
          <w:lang w:val="en-US" w:eastAsia="zh-CN"/>
        </w:rPr>
        <w:t>12</w:t>
      </w:r>
      <w:r>
        <w:rPr>
          <w:rFonts w:hint="eastAsia"/>
          <w:color w:val="auto"/>
          <w:kern w:val="0"/>
          <w:sz w:val="24"/>
        </w:rPr>
        <w:t>月</w:t>
      </w:r>
      <w:r>
        <w:rPr>
          <w:rFonts w:hint="eastAsia"/>
          <w:color w:val="auto"/>
          <w:kern w:val="0"/>
          <w:sz w:val="24"/>
          <w:lang w:val="en-US" w:eastAsia="zh-CN"/>
        </w:rPr>
        <w:t>23</w:t>
      </w:r>
      <w:r>
        <w:rPr>
          <w:rFonts w:hint="eastAsia"/>
          <w:color w:val="auto"/>
          <w:kern w:val="0"/>
          <w:sz w:val="24"/>
        </w:rPr>
        <w:t>日出具《</w:t>
      </w:r>
      <w:r>
        <w:rPr>
          <w:rFonts w:hint="eastAsia" w:eastAsia="宋体"/>
          <w:color w:val="auto"/>
          <w:kern w:val="0"/>
          <w:sz w:val="24"/>
          <w:lang w:val="en-US" w:eastAsia="zh-CN"/>
        </w:rPr>
        <w:t>烟台近江汽车零部件有限公司汽车零部件（管件）加工项目</w:t>
      </w:r>
      <w:r>
        <w:rPr>
          <w:rFonts w:hint="eastAsia"/>
          <w:color w:val="auto"/>
          <w:kern w:val="0"/>
          <w:sz w:val="24"/>
        </w:rPr>
        <w:t>环境影响报告</w:t>
      </w:r>
      <w:r>
        <w:rPr>
          <w:rFonts w:hint="eastAsia"/>
          <w:color w:val="auto"/>
          <w:kern w:val="0"/>
          <w:sz w:val="24"/>
          <w:lang w:val="en-US" w:eastAsia="zh-CN"/>
        </w:rPr>
        <w:t>表审批意见</w:t>
      </w:r>
      <w:r>
        <w:rPr>
          <w:rFonts w:hint="eastAsia"/>
          <w:color w:val="auto"/>
          <w:kern w:val="0"/>
          <w:sz w:val="24"/>
        </w:rPr>
        <w:t>》，文号为</w:t>
      </w:r>
      <w:r>
        <w:rPr>
          <w:rFonts w:hint="eastAsia"/>
          <w:color w:val="auto"/>
          <w:kern w:val="0"/>
          <w:sz w:val="24"/>
          <w:lang w:val="en-US" w:eastAsia="zh-CN"/>
        </w:rPr>
        <w:t>烟福环审报告表[2025]91号</w:t>
      </w:r>
      <w:r>
        <w:rPr>
          <w:rFonts w:hint="eastAsia"/>
          <w:color w:val="auto"/>
          <w:kern w:val="0"/>
          <w:sz w:val="24"/>
        </w:rPr>
        <w:t>。</w:t>
      </w:r>
    </w:p>
    <w:p>
      <w:pPr>
        <w:pStyle w:val="23"/>
        <w:spacing w:after="0" w:line="360" w:lineRule="auto"/>
        <w:ind w:left="0" w:leftChars="0" w:firstLine="480"/>
        <w:rPr>
          <w:color w:val="auto"/>
          <w:kern w:val="0"/>
          <w:sz w:val="24"/>
        </w:rPr>
      </w:pPr>
      <w:r>
        <w:rPr>
          <w:rFonts w:hint="eastAsia"/>
          <w:color w:val="auto"/>
          <w:kern w:val="0"/>
          <w:sz w:val="24"/>
        </w:rPr>
        <w:t>项目开工建设时间为202</w:t>
      </w:r>
      <w:r>
        <w:rPr>
          <w:rFonts w:hint="eastAsia"/>
          <w:color w:val="auto"/>
          <w:kern w:val="0"/>
          <w:sz w:val="24"/>
          <w:lang w:val="en-US" w:eastAsia="zh-CN"/>
        </w:rPr>
        <w:t>6</w:t>
      </w:r>
      <w:r>
        <w:rPr>
          <w:rFonts w:hint="eastAsia"/>
          <w:color w:val="auto"/>
          <w:kern w:val="0"/>
          <w:sz w:val="24"/>
        </w:rPr>
        <w:t>年</w:t>
      </w:r>
      <w:r>
        <w:rPr>
          <w:rFonts w:hint="eastAsia"/>
          <w:color w:val="auto"/>
          <w:kern w:val="0"/>
          <w:sz w:val="24"/>
          <w:lang w:val="en-US" w:eastAsia="zh-CN"/>
        </w:rPr>
        <w:t>2</w:t>
      </w:r>
      <w:r>
        <w:rPr>
          <w:rFonts w:hint="eastAsia"/>
          <w:color w:val="auto"/>
          <w:kern w:val="0"/>
          <w:sz w:val="24"/>
        </w:rPr>
        <w:t>月，竣工时间为202</w:t>
      </w:r>
      <w:r>
        <w:rPr>
          <w:rFonts w:hint="eastAsia"/>
          <w:color w:val="auto"/>
          <w:kern w:val="0"/>
          <w:sz w:val="24"/>
          <w:lang w:val="en-US" w:eastAsia="zh-CN"/>
        </w:rPr>
        <w:t>6</w:t>
      </w:r>
      <w:r>
        <w:rPr>
          <w:rFonts w:hint="eastAsia"/>
          <w:color w:val="auto"/>
          <w:kern w:val="0"/>
          <w:sz w:val="24"/>
        </w:rPr>
        <w:t>年3月1日，调试时间是202</w:t>
      </w:r>
      <w:r>
        <w:rPr>
          <w:rFonts w:hint="eastAsia"/>
          <w:color w:val="auto"/>
          <w:kern w:val="0"/>
          <w:sz w:val="24"/>
          <w:lang w:val="en-US" w:eastAsia="zh-CN"/>
        </w:rPr>
        <w:t>6</w:t>
      </w:r>
      <w:r>
        <w:rPr>
          <w:rFonts w:hint="eastAsia"/>
          <w:color w:val="auto"/>
          <w:kern w:val="0"/>
          <w:sz w:val="24"/>
        </w:rPr>
        <w:t>年</w:t>
      </w:r>
      <w:r>
        <w:rPr>
          <w:rFonts w:hint="eastAsia"/>
          <w:color w:val="auto"/>
          <w:kern w:val="0"/>
          <w:sz w:val="24"/>
          <w:lang w:val="en-US" w:eastAsia="zh-CN"/>
        </w:rPr>
        <w:t>3</w:t>
      </w:r>
      <w:r>
        <w:rPr>
          <w:rFonts w:hint="eastAsia"/>
          <w:color w:val="auto"/>
          <w:kern w:val="0"/>
          <w:sz w:val="24"/>
        </w:rPr>
        <w:t>月</w:t>
      </w:r>
      <w:r>
        <w:rPr>
          <w:rFonts w:hint="eastAsia"/>
          <w:color w:val="auto"/>
          <w:kern w:val="0"/>
          <w:sz w:val="24"/>
          <w:lang w:val="en-US" w:eastAsia="zh-CN"/>
        </w:rPr>
        <w:t>7</w:t>
      </w:r>
      <w:r>
        <w:rPr>
          <w:rFonts w:hint="eastAsia"/>
          <w:color w:val="auto"/>
          <w:kern w:val="0"/>
          <w:sz w:val="24"/>
        </w:rPr>
        <w:t>日至</w:t>
      </w:r>
      <w:r>
        <w:rPr>
          <w:rFonts w:hint="eastAsia"/>
          <w:color w:val="auto"/>
          <w:kern w:val="0"/>
          <w:sz w:val="24"/>
          <w:lang w:val="en-US" w:eastAsia="zh-CN"/>
        </w:rPr>
        <w:t>3</w:t>
      </w:r>
      <w:r>
        <w:rPr>
          <w:rFonts w:hint="eastAsia"/>
          <w:color w:val="auto"/>
          <w:kern w:val="0"/>
          <w:sz w:val="24"/>
        </w:rPr>
        <w:t>月</w:t>
      </w:r>
      <w:r>
        <w:rPr>
          <w:rFonts w:hint="eastAsia"/>
          <w:color w:val="auto"/>
          <w:kern w:val="0"/>
          <w:sz w:val="24"/>
          <w:lang w:val="en-US" w:eastAsia="zh-CN"/>
        </w:rPr>
        <w:t>15</w:t>
      </w:r>
      <w:r>
        <w:rPr>
          <w:rFonts w:hint="eastAsia"/>
          <w:color w:val="auto"/>
          <w:kern w:val="0"/>
          <w:sz w:val="24"/>
        </w:rPr>
        <w:t>日，试运行时间为202</w:t>
      </w:r>
      <w:r>
        <w:rPr>
          <w:rFonts w:hint="eastAsia"/>
          <w:color w:val="auto"/>
          <w:kern w:val="0"/>
          <w:sz w:val="24"/>
          <w:lang w:val="en-US" w:eastAsia="zh-CN"/>
        </w:rPr>
        <w:t>6</w:t>
      </w:r>
      <w:r>
        <w:rPr>
          <w:rFonts w:hint="eastAsia"/>
          <w:color w:val="auto"/>
          <w:kern w:val="0"/>
          <w:sz w:val="24"/>
        </w:rPr>
        <w:t>年</w:t>
      </w:r>
      <w:r>
        <w:rPr>
          <w:rFonts w:hint="eastAsia"/>
          <w:color w:val="auto"/>
          <w:kern w:val="0"/>
          <w:sz w:val="24"/>
          <w:lang w:val="en-US" w:eastAsia="zh-CN"/>
        </w:rPr>
        <w:t>3</w:t>
      </w:r>
      <w:r>
        <w:rPr>
          <w:rFonts w:hint="eastAsia"/>
          <w:color w:val="auto"/>
          <w:kern w:val="0"/>
          <w:sz w:val="24"/>
        </w:rPr>
        <w:t>月1</w:t>
      </w:r>
      <w:r>
        <w:rPr>
          <w:rFonts w:hint="eastAsia"/>
          <w:color w:val="auto"/>
          <w:kern w:val="0"/>
          <w:sz w:val="24"/>
          <w:lang w:val="en-US" w:eastAsia="zh-CN"/>
        </w:rPr>
        <w:t>6</w:t>
      </w:r>
      <w:r>
        <w:rPr>
          <w:rFonts w:hint="eastAsia"/>
          <w:color w:val="auto"/>
          <w:kern w:val="0"/>
          <w:sz w:val="24"/>
        </w:rPr>
        <w:t>日至</w:t>
      </w:r>
      <w:r>
        <w:rPr>
          <w:rFonts w:hint="eastAsia"/>
          <w:color w:val="auto"/>
          <w:kern w:val="0"/>
          <w:sz w:val="24"/>
          <w:lang w:val="en-US" w:eastAsia="zh-CN"/>
        </w:rPr>
        <w:t>3</w:t>
      </w:r>
      <w:r>
        <w:rPr>
          <w:rFonts w:hint="eastAsia"/>
          <w:color w:val="auto"/>
          <w:kern w:val="0"/>
          <w:sz w:val="24"/>
        </w:rPr>
        <w:t>月</w:t>
      </w:r>
      <w:r>
        <w:rPr>
          <w:rFonts w:hint="eastAsia"/>
          <w:color w:val="auto"/>
          <w:kern w:val="0"/>
          <w:sz w:val="24"/>
          <w:lang w:val="en-US" w:eastAsia="zh-CN"/>
        </w:rPr>
        <w:t>2</w:t>
      </w:r>
      <w:r>
        <w:rPr>
          <w:rFonts w:hint="eastAsia"/>
          <w:color w:val="auto"/>
          <w:kern w:val="0"/>
          <w:sz w:val="24"/>
        </w:rPr>
        <w:t>5日。目前项目正常运行中。</w:t>
      </w:r>
    </w:p>
    <w:p>
      <w:pPr>
        <w:adjustRightInd w:val="0"/>
        <w:snapToGrid w:val="0"/>
        <w:spacing w:line="360" w:lineRule="auto"/>
        <w:ind w:firstLine="474" w:firstLineChars="200"/>
        <w:outlineLvl w:val="0"/>
        <w:rPr>
          <w:b/>
          <w:color w:val="auto"/>
          <w:sz w:val="24"/>
          <w:szCs w:val="24"/>
        </w:rPr>
      </w:pPr>
      <w:r>
        <w:rPr>
          <w:b/>
          <w:color w:val="auto"/>
          <w:spacing w:val="-2"/>
          <w:kern w:val="0"/>
          <w:sz w:val="24"/>
          <w:szCs w:val="24"/>
        </w:rPr>
        <w:t>二、项目变</w:t>
      </w:r>
      <w:r>
        <w:rPr>
          <w:rFonts w:hint="eastAsia"/>
          <w:b/>
          <w:color w:val="auto"/>
          <w:spacing w:val="-2"/>
          <w:kern w:val="0"/>
          <w:sz w:val="24"/>
          <w:szCs w:val="24"/>
        </w:rPr>
        <w:t>动</w:t>
      </w:r>
      <w:r>
        <w:rPr>
          <w:b/>
          <w:color w:val="auto"/>
          <w:spacing w:val="-2"/>
          <w:kern w:val="0"/>
          <w:sz w:val="24"/>
          <w:szCs w:val="24"/>
        </w:rPr>
        <w:t>情况</w:t>
      </w:r>
    </w:p>
    <w:p>
      <w:pPr>
        <w:adjustRightInd w:val="0"/>
        <w:snapToGrid w:val="0"/>
        <w:spacing w:line="360" w:lineRule="auto"/>
        <w:ind w:firstLine="470" w:firstLineChars="196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对照《污染影响类建设项目重大变动清单（试行）》</w:t>
      </w:r>
      <w:r>
        <w:rPr>
          <w:color w:val="auto"/>
          <w:sz w:val="24"/>
          <w:szCs w:val="24"/>
        </w:rPr>
        <w:t>（环办环评函〔</w:t>
      </w:r>
      <w:r>
        <w:rPr>
          <w:rFonts w:hint="eastAsia"/>
          <w:color w:val="auto"/>
          <w:sz w:val="24"/>
          <w:szCs w:val="24"/>
        </w:rPr>
        <w:t>2020</w:t>
      </w:r>
      <w:r>
        <w:rPr>
          <w:color w:val="auto"/>
          <w:sz w:val="24"/>
          <w:szCs w:val="24"/>
        </w:rPr>
        <w:t>〕</w:t>
      </w:r>
      <w:r>
        <w:rPr>
          <w:rFonts w:hint="eastAsia"/>
          <w:color w:val="auto"/>
          <w:sz w:val="24"/>
          <w:szCs w:val="24"/>
        </w:rPr>
        <w:t>688</w:t>
      </w:r>
      <w:r>
        <w:rPr>
          <w:color w:val="auto"/>
          <w:sz w:val="24"/>
          <w:szCs w:val="24"/>
        </w:rPr>
        <w:t>号）</w:t>
      </w:r>
      <w:r>
        <w:rPr>
          <w:rFonts w:hint="eastAsia"/>
          <w:color w:val="auto"/>
          <w:sz w:val="24"/>
          <w:szCs w:val="24"/>
        </w:rPr>
        <w:t>，</w:t>
      </w:r>
      <w:r>
        <w:rPr>
          <w:rFonts w:hint="eastAsia"/>
          <w:bCs/>
          <w:color w:val="auto"/>
          <w:sz w:val="24"/>
          <w:szCs w:val="24"/>
          <w:lang w:val="en-US" w:eastAsia="zh-CN"/>
        </w:rPr>
        <w:t>不涉及</w:t>
      </w:r>
      <w:r>
        <w:rPr>
          <w:bCs/>
          <w:color w:val="auto"/>
          <w:sz w:val="24"/>
          <w:szCs w:val="24"/>
        </w:rPr>
        <w:t>重大变动。</w:t>
      </w:r>
    </w:p>
    <w:p>
      <w:pPr>
        <w:adjustRightInd w:val="0"/>
        <w:snapToGrid w:val="0"/>
        <w:spacing w:line="360" w:lineRule="auto"/>
        <w:ind w:firstLine="472" w:firstLineChars="196"/>
        <w:outlineLvl w:val="0"/>
        <w:rPr>
          <w:b/>
          <w:color w:val="auto"/>
          <w:spacing w:val="-2"/>
          <w:kern w:val="0"/>
          <w:sz w:val="24"/>
          <w:szCs w:val="24"/>
        </w:rPr>
      </w:pPr>
      <w:r>
        <w:rPr>
          <w:b/>
          <w:color w:val="auto"/>
          <w:sz w:val="24"/>
          <w:szCs w:val="24"/>
        </w:rPr>
        <w:t>三、环境保护设</w:t>
      </w:r>
      <w:r>
        <w:rPr>
          <w:b/>
          <w:color w:val="auto"/>
          <w:spacing w:val="-2"/>
          <w:kern w:val="0"/>
          <w:sz w:val="24"/>
          <w:szCs w:val="24"/>
        </w:rPr>
        <w:t>施建设情况</w:t>
      </w:r>
    </w:p>
    <w:p>
      <w:pPr>
        <w:adjustRightInd w:val="0"/>
        <w:snapToGrid w:val="0"/>
        <w:spacing w:line="360" w:lineRule="auto"/>
        <w:ind w:firstLine="482" w:firstLineChars="200"/>
        <w:outlineLvl w:val="1"/>
        <w:rPr>
          <w:b/>
          <w:color w:val="auto"/>
          <w:sz w:val="24"/>
          <w:szCs w:val="24"/>
        </w:rPr>
      </w:pPr>
      <w:r>
        <w:rPr>
          <w:rFonts w:hint="eastAsia"/>
          <w:b/>
          <w:color w:val="auto"/>
          <w:sz w:val="24"/>
          <w:szCs w:val="24"/>
        </w:rPr>
        <w:t>1</w:t>
      </w:r>
      <w:r>
        <w:rPr>
          <w:b/>
          <w:color w:val="auto"/>
          <w:sz w:val="24"/>
          <w:szCs w:val="24"/>
        </w:rPr>
        <w:t>、废</w:t>
      </w:r>
      <w:r>
        <w:rPr>
          <w:rFonts w:hint="eastAsia"/>
          <w:b/>
          <w:color w:val="auto"/>
          <w:sz w:val="24"/>
          <w:szCs w:val="24"/>
        </w:rPr>
        <w:t>水</w:t>
      </w:r>
    </w:p>
    <w:p>
      <w:pPr>
        <w:pStyle w:val="23"/>
        <w:adjustRightInd w:val="0"/>
        <w:snapToGrid w:val="0"/>
        <w:spacing w:after="0" w:line="360" w:lineRule="auto"/>
        <w:ind w:left="0" w:leftChars="0" w:firstLine="480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厂区职工产生的生活污水经</w:t>
      </w:r>
      <w:r>
        <w:rPr>
          <w:rFonts w:hint="eastAsia"/>
          <w:color w:val="auto"/>
          <w:sz w:val="24"/>
          <w:szCs w:val="24"/>
          <w:lang w:val="en-US" w:eastAsia="zh-CN"/>
        </w:rPr>
        <w:t>化粪池</w:t>
      </w:r>
      <w:r>
        <w:rPr>
          <w:color w:val="auto"/>
          <w:sz w:val="24"/>
          <w:szCs w:val="24"/>
        </w:rPr>
        <w:t>处理后，</w:t>
      </w:r>
      <w:r>
        <w:rPr>
          <w:rFonts w:hint="eastAsia"/>
          <w:color w:val="auto"/>
          <w:sz w:val="24"/>
          <w:szCs w:val="24"/>
        </w:rPr>
        <w:t>接管市政污水管网，排至</w:t>
      </w:r>
      <w:r>
        <w:rPr>
          <w:rFonts w:hint="eastAsia"/>
          <w:color w:val="auto"/>
          <w:sz w:val="24"/>
          <w:szCs w:val="24"/>
          <w:lang w:val="en-US" w:eastAsia="zh-CN"/>
        </w:rPr>
        <w:t>烟台市套子湾污水处理有限公司</w:t>
      </w:r>
      <w:r>
        <w:rPr>
          <w:rFonts w:hint="eastAsia"/>
          <w:color w:val="auto"/>
          <w:sz w:val="24"/>
          <w:szCs w:val="24"/>
        </w:rPr>
        <w:t>进一步处理</w:t>
      </w:r>
      <w:r>
        <w:rPr>
          <w:color w:val="auto"/>
          <w:sz w:val="24"/>
          <w:szCs w:val="24"/>
        </w:rPr>
        <w:t>。</w:t>
      </w:r>
    </w:p>
    <w:p>
      <w:pPr>
        <w:adjustRightInd w:val="0"/>
        <w:snapToGrid w:val="0"/>
        <w:spacing w:line="360" w:lineRule="auto"/>
        <w:ind w:firstLine="482" w:firstLineChars="200"/>
        <w:outlineLvl w:val="1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  <w:t>2、废气</w:t>
      </w:r>
    </w:p>
    <w:p>
      <w:pPr>
        <w:pStyle w:val="7"/>
        <w:adjustRightInd w:val="0"/>
        <w:snapToGrid w:val="0"/>
        <w:spacing w:line="360" w:lineRule="auto"/>
        <w:ind w:firstLine="480" w:firstLineChars="200"/>
        <w:outlineLvl w:val="1"/>
        <w:rPr>
          <w:rFonts w:hint="default"/>
          <w:color w:val="auto"/>
          <w:sz w:val="24"/>
          <w:szCs w:val="24"/>
          <w:lang w:val="en-US" w:eastAsia="zh-CN"/>
        </w:rPr>
      </w:pPr>
      <w:r>
        <w:rPr>
          <w:rFonts w:hint="eastAsia"/>
          <w:color w:val="auto"/>
          <w:sz w:val="24"/>
          <w:szCs w:val="24"/>
          <w:lang w:val="en-US" w:eastAsia="zh-CN"/>
        </w:rPr>
        <w:t>焊接工序产生的焊接废气经固定式焊烟净化装置处理后无组织排放。</w:t>
      </w:r>
    </w:p>
    <w:p>
      <w:pPr>
        <w:pStyle w:val="7"/>
        <w:adjustRightInd w:val="0"/>
        <w:snapToGrid w:val="0"/>
        <w:spacing w:line="360" w:lineRule="auto"/>
        <w:ind w:firstLine="482" w:firstLineChars="200"/>
        <w:outlineLvl w:val="1"/>
        <w:rPr>
          <w:rFonts w:hAnsi="宋体"/>
          <w:b/>
          <w:color w:val="auto"/>
          <w:sz w:val="24"/>
          <w:szCs w:val="24"/>
        </w:rPr>
      </w:pPr>
      <w:r>
        <w:rPr>
          <w:rFonts w:hAnsi="宋体"/>
          <w:b/>
          <w:color w:val="auto"/>
          <w:sz w:val="24"/>
          <w:szCs w:val="24"/>
        </w:rPr>
        <w:t>3、噪声</w:t>
      </w:r>
    </w:p>
    <w:p>
      <w:pPr>
        <w:autoSpaceDE w:val="0"/>
        <w:autoSpaceDN w:val="0"/>
        <w:adjustRightInd w:val="0"/>
        <w:snapToGrid w:val="0"/>
        <w:spacing w:line="360" w:lineRule="auto"/>
        <w:ind w:firstLine="468" w:firstLineChars="195"/>
        <w:rPr>
          <w:rFonts w:hAnsi="宋体"/>
          <w:color w:val="auto"/>
          <w:sz w:val="24"/>
          <w:szCs w:val="24"/>
        </w:rPr>
      </w:pPr>
      <w:r>
        <w:rPr>
          <w:rFonts w:hAnsi="宋体"/>
          <w:color w:val="auto"/>
          <w:sz w:val="24"/>
          <w:szCs w:val="24"/>
        </w:rPr>
        <w:t>项目选用低噪声设备、合理布局场地、基础减震等措施，降低噪声对周围环境的影响。</w:t>
      </w:r>
    </w:p>
    <w:p>
      <w:pPr>
        <w:autoSpaceDE w:val="0"/>
        <w:autoSpaceDN w:val="0"/>
        <w:adjustRightInd w:val="0"/>
        <w:snapToGrid w:val="0"/>
        <w:spacing w:line="360" w:lineRule="auto"/>
        <w:ind w:firstLine="470" w:firstLineChars="195"/>
        <w:outlineLvl w:val="1"/>
        <w:rPr>
          <w:rFonts w:hAnsi="宋体"/>
          <w:b/>
          <w:color w:val="auto"/>
          <w:sz w:val="24"/>
          <w:szCs w:val="24"/>
        </w:rPr>
      </w:pPr>
      <w:r>
        <w:rPr>
          <w:rFonts w:hAnsi="宋体"/>
          <w:b/>
          <w:color w:val="auto"/>
          <w:sz w:val="24"/>
          <w:szCs w:val="24"/>
        </w:rPr>
        <w:t>4、固体废物</w:t>
      </w:r>
    </w:p>
    <w:p>
      <w:pPr>
        <w:autoSpaceDE w:val="0"/>
        <w:autoSpaceDN w:val="0"/>
        <w:adjustRightInd w:val="0"/>
        <w:snapToGrid w:val="0"/>
        <w:spacing w:line="360" w:lineRule="auto"/>
        <w:ind w:firstLine="468" w:firstLineChars="195"/>
        <w:rPr>
          <w:rFonts w:hAnsi="宋体"/>
          <w:color w:val="auto"/>
          <w:sz w:val="24"/>
          <w:szCs w:val="24"/>
        </w:rPr>
      </w:pPr>
      <w:r>
        <w:rPr>
          <w:rFonts w:hint="eastAsia" w:hAnsi="宋体"/>
          <w:color w:val="auto"/>
          <w:sz w:val="24"/>
          <w:szCs w:val="24"/>
          <w:lang w:val="en-US" w:eastAsia="zh-CN"/>
        </w:rPr>
        <w:t>废焊丝及焊渣、焊烟净化装置收集尘、不合格品</w:t>
      </w:r>
      <w:r>
        <w:rPr>
          <w:rFonts w:hAnsi="宋体"/>
          <w:color w:val="auto"/>
          <w:sz w:val="24"/>
          <w:szCs w:val="24"/>
        </w:rPr>
        <w:t>统一收集后外售处理；</w:t>
      </w:r>
      <w:r>
        <w:rPr>
          <w:rFonts w:hint="eastAsia" w:hAnsi="宋体"/>
          <w:color w:val="auto"/>
          <w:sz w:val="24"/>
          <w:szCs w:val="24"/>
          <w:lang w:val="en-US" w:eastAsia="zh-CN"/>
        </w:rPr>
        <w:t>废机油、废油桶</w:t>
      </w:r>
      <w:r>
        <w:rPr>
          <w:rFonts w:hAnsi="宋体"/>
          <w:color w:val="auto"/>
          <w:sz w:val="24"/>
          <w:szCs w:val="24"/>
        </w:rPr>
        <w:t>等危险废物暂存于危险废物暂存场所，定期委托资质单位处置；</w:t>
      </w:r>
      <w:r>
        <w:rPr>
          <w:rFonts w:hint="eastAsia" w:hAnsi="宋体"/>
          <w:color w:val="auto"/>
          <w:sz w:val="24"/>
          <w:szCs w:val="24"/>
          <w:lang w:val="en-US" w:eastAsia="zh-CN"/>
        </w:rPr>
        <w:t>含油抹布混入</w:t>
      </w:r>
      <w:r>
        <w:rPr>
          <w:rFonts w:hAnsi="宋体"/>
          <w:color w:val="auto"/>
          <w:sz w:val="24"/>
          <w:szCs w:val="24"/>
        </w:rPr>
        <w:t>生活垃圾委托环卫部门定期清运。</w:t>
      </w:r>
    </w:p>
    <w:p>
      <w:pPr>
        <w:autoSpaceDE w:val="0"/>
        <w:autoSpaceDN w:val="0"/>
        <w:adjustRightInd w:val="0"/>
        <w:snapToGrid w:val="0"/>
        <w:spacing w:line="360" w:lineRule="auto"/>
        <w:ind w:firstLine="470" w:firstLineChars="195"/>
        <w:outlineLvl w:val="1"/>
        <w:rPr>
          <w:rFonts w:hAnsi="宋体"/>
          <w:b/>
          <w:color w:val="auto"/>
          <w:sz w:val="24"/>
          <w:szCs w:val="24"/>
        </w:rPr>
      </w:pPr>
      <w:r>
        <w:rPr>
          <w:rFonts w:hint="eastAsia" w:hAnsi="宋体"/>
          <w:b/>
          <w:color w:val="auto"/>
          <w:sz w:val="24"/>
          <w:szCs w:val="24"/>
        </w:rPr>
        <w:t>5、其他环境保护设施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right="220" w:rightChars="105" w:firstLine="480" w:firstLineChars="200"/>
        <w:textAlignment w:val="auto"/>
        <w:rPr>
          <w:rFonts w:hint="eastAsia"/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  <w:lang w:eastAsia="zh-CN"/>
        </w:rPr>
        <w:t>（</w:t>
      </w:r>
      <w:r>
        <w:rPr>
          <w:rFonts w:hint="eastAsia"/>
          <w:color w:val="auto"/>
          <w:sz w:val="24"/>
          <w:szCs w:val="24"/>
          <w:lang w:val="en-US" w:eastAsia="zh-CN"/>
        </w:rPr>
        <w:t>1</w:t>
      </w:r>
      <w:r>
        <w:rPr>
          <w:rFonts w:hint="eastAsia"/>
          <w:color w:val="auto"/>
          <w:sz w:val="24"/>
          <w:szCs w:val="24"/>
          <w:lang w:eastAsia="zh-CN"/>
        </w:rPr>
        <w:t>）</w:t>
      </w:r>
      <w:r>
        <w:rPr>
          <w:rFonts w:hint="eastAsia"/>
          <w:color w:val="auto"/>
          <w:sz w:val="24"/>
          <w:szCs w:val="24"/>
        </w:rPr>
        <w:t>环境风险防范设施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right="220" w:rightChars="105" w:firstLine="480" w:firstLineChars="200"/>
        <w:textAlignment w:val="auto"/>
        <w:rPr>
          <w:rFonts w:hint="eastAsia"/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企业已编制了突发环境事件应急预案并已在环保部门备案。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right="220" w:rightChars="105" w:firstLine="480" w:firstLineChars="200"/>
        <w:textAlignment w:val="auto"/>
        <w:rPr>
          <w:rFonts w:hint="eastAsia"/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  <w:lang w:eastAsia="zh-CN"/>
        </w:rPr>
        <w:t>（</w:t>
      </w:r>
      <w:r>
        <w:rPr>
          <w:rFonts w:hint="eastAsia"/>
          <w:color w:val="auto"/>
          <w:sz w:val="24"/>
          <w:szCs w:val="24"/>
          <w:lang w:val="en-US" w:eastAsia="zh-CN"/>
        </w:rPr>
        <w:t>2</w:t>
      </w:r>
      <w:r>
        <w:rPr>
          <w:rFonts w:hint="eastAsia"/>
          <w:color w:val="auto"/>
          <w:sz w:val="24"/>
          <w:szCs w:val="24"/>
          <w:lang w:eastAsia="zh-CN"/>
        </w:rPr>
        <w:t>）</w:t>
      </w:r>
      <w:r>
        <w:rPr>
          <w:rFonts w:hint="eastAsia"/>
          <w:color w:val="auto"/>
          <w:sz w:val="24"/>
          <w:szCs w:val="24"/>
        </w:rPr>
        <w:t>地下水防渗设施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right="220" w:rightChars="105" w:firstLine="480" w:firstLineChars="200"/>
        <w:textAlignment w:val="auto"/>
        <w:rPr>
          <w:rFonts w:hint="eastAsia"/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项目</w:t>
      </w:r>
      <w:r>
        <w:rPr>
          <w:rFonts w:hint="eastAsia"/>
          <w:color w:val="auto"/>
          <w:sz w:val="24"/>
          <w:szCs w:val="24"/>
          <w:lang w:val="en-US" w:eastAsia="zh-CN"/>
        </w:rPr>
        <w:t>已</w:t>
      </w:r>
      <w:r>
        <w:rPr>
          <w:rFonts w:hint="eastAsia"/>
          <w:color w:val="auto"/>
          <w:sz w:val="24"/>
          <w:szCs w:val="24"/>
        </w:rPr>
        <w:t>按要求落实了相应防渗措施。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74" w:firstLineChars="200"/>
        <w:textAlignment w:val="auto"/>
        <w:outlineLvl w:val="0"/>
        <w:rPr>
          <w:b/>
          <w:color w:val="auto"/>
          <w:spacing w:val="-2"/>
          <w:kern w:val="0"/>
          <w:sz w:val="24"/>
          <w:szCs w:val="24"/>
        </w:rPr>
      </w:pPr>
      <w:r>
        <w:rPr>
          <w:b/>
          <w:color w:val="auto"/>
          <w:spacing w:val="-2"/>
          <w:kern w:val="0"/>
          <w:sz w:val="24"/>
          <w:szCs w:val="24"/>
        </w:rPr>
        <w:t>四、环境保护设施调试结果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72" w:firstLineChars="200"/>
        <w:textAlignment w:val="auto"/>
        <w:outlineLvl w:val="1"/>
        <w:rPr>
          <w:rFonts w:hint="eastAsia"/>
          <w:color w:val="auto"/>
          <w:spacing w:val="-2"/>
          <w:kern w:val="0"/>
          <w:sz w:val="24"/>
          <w:szCs w:val="24"/>
        </w:rPr>
      </w:pPr>
      <w:r>
        <w:rPr>
          <w:rFonts w:hint="eastAsia"/>
          <w:color w:val="auto"/>
          <w:spacing w:val="-2"/>
          <w:kern w:val="0"/>
          <w:sz w:val="24"/>
          <w:szCs w:val="24"/>
        </w:rPr>
        <w:t>1、监测期间的生产工况</w:t>
      </w:r>
    </w:p>
    <w:p>
      <w:pPr>
        <w:adjustRightInd w:val="0"/>
        <w:snapToGrid w:val="0"/>
        <w:spacing w:line="360" w:lineRule="auto"/>
        <w:ind w:firstLine="472" w:firstLineChars="200"/>
        <w:outlineLvl w:val="1"/>
        <w:rPr>
          <w:rFonts w:hint="eastAsia"/>
          <w:color w:val="auto"/>
          <w:spacing w:val="-2"/>
          <w:kern w:val="0"/>
          <w:sz w:val="24"/>
          <w:szCs w:val="24"/>
        </w:rPr>
      </w:pPr>
      <w:r>
        <w:rPr>
          <w:rFonts w:hint="eastAsia"/>
          <w:color w:val="auto"/>
          <w:spacing w:val="-2"/>
          <w:kern w:val="0"/>
          <w:sz w:val="24"/>
          <w:szCs w:val="24"/>
        </w:rPr>
        <w:t>验收监测期间，企业生产正常，监测期间的生产负荷均为80%。</w:t>
      </w:r>
    </w:p>
    <w:p>
      <w:pPr>
        <w:adjustRightInd w:val="0"/>
        <w:snapToGrid w:val="0"/>
        <w:spacing w:line="360" w:lineRule="auto"/>
        <w:ind w:firstLine="474" w:firstLineChars="200"/>
        <w:outlineLvl w:val="1"/>
        <w:rPr>
          <w:b/>
          <w:color w:val="auto"/>
          <w:spacing w:val="-2"/>
          <w:kern w:val="0"/>
          <w:sz w:val="24"/>
          <w:szCs w:val="24"/>
        </w:rPr>
      </w:pPr>
      <w:r>
        <w:rPr>
          <w:rFonts w:hint="eastAsia"/>
          <w:b/>
          <w:color w:val="auto"/>
          <w:spacing w:val="-2"/>
          <w:kern w:val="0"/>
          <w:sz w:val="24"/>
          <w:szCs w:val="24"/>
        </w:rPr>
        <w:t>2</w:t>
      </w:r>
      <w:r>
        <w:rPr>
          <w:b/>
          <w:color w:val="auto"/>
          <w:spacing w:val="-2"/>
          <w:kern w:val="0"/>
          <w:sz w:val="24"/>
          <w:szCs w:val="24"/>
        </w:rPr>
        <w:t>、废水</w:t>
      </w:r>
    </w:p>
    <w:p>
      <w:pPr>
        <w:pStyle w:val="23"/>
        <w:adjustRightInd w:val="0"/>
        <w:snapToGrid w:val="0"/>
        <w:spacing w:after="0" w:line="360" w:lineRule="auto"/>
        <w:ind w:left="0" w:leftChars="0" w:firstLine="480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厂区职工产生的生活污水</w:t>
      </w:r>
      <w:r>
        <w:rPr>
          <w:rFonts w:hint="eastAsia"/>
          <w:color w:val="auto"/>
          <w:sz w:val="24"/>
          <w:szCs w:val="24"/>
          <w:lang w:val="en-US" w:eastAsia="zh-CN"/>
        </w:rPr>
        <w:t>经化粪池处理后</w:t>
      </w:r>
      <w:r>
        <w:rPr>
          <w:rFonts w:hint="eastAsia"/>
          <w:color w:val="auto"/>
          <w:sz w:val="24"/>
          <w:szCs w:val="24"/>
        </w:rPr>
        <w:t>接管市政污水管网，排至</w:t>
      </w:r>
      <w:r>
        <w:rPr>
          <w:rFonts w:hint="eastAsia"/>
          <w:color w:val="auto"/>
          <w:sz w:val="24"/>
          <w:szCs w:val="24"/>
          <w:lang w:val="en-US" w:eastAsia="zh-CN"/>
        </w:rPr>
        <w:t>烟台市套子湾污水处理有限公司</w:t>
      </w:r>
      <w:r>
        <w:rPr>
          <w:color w:val="auto"/>
          <w:sz w:val="24"/>
          <w:szCs w:val="24"/>
        </w:rPr>
        <w:t>。</w:t>
      </w:r>
    </w:p>
    <w:p>
      <w:pPr>
        <w:pStyle w:val="23"/>
        <w:adjustRightInd w:val="0"/>
        <w:snapToGrid w:val="0"/>
        <w:spacing w:after="0" w:line="360" w:lineRule="auto"/>
        <w:ind w:left="0" w:leftChars="0" w:firstLine="480"/>
        <w:rPr>
          <w:color w:val="auto"/>
          <w:sz w:val="24"/>
          <w:szCs w:val="24"/>
        </w:rPr>
      </w:pPr>
      <w:r>
        <w:rPr>
          <w:rFonts w:hint="eastAsia" w:hAnsi="宋体"/>
          <w:color w:val="auto"/>
          <w:sz w:val="24"/>
          <w:szCs w:val="24"/>
        </w:rPr>
        <w:t>监测结果表明：</w:t>
      </w:r>
      <w:r>
        <w:rPr>
          <w:rFonts w:hint="eastAsia"/>
          <w:color w:val="auto"/>
          <w:sz w:val="24"/>
          <w:szCs w:val="24"/>
          <w:lang w:val="en-US" w:eastAsia="zh-CN"/>
        </w:rPr>
        <w:t>pH为7.4-7.5无量纲，其他污染物的日均值为化学需氧量12.75mg/L，氨氮0.463mg/L，悬浮物8mg/L，总氮4mg/L，总磷0.078mg/L，生化需氧量3.55mg/L。</w:t>
      </w:r>
    </w:p>
    <w:p>
      <w:pPr>
        <w:pStyle w:val="10"/>
        <w:adjustRightInd w:val="0"/>
        <w:snapToGrid w:val="0"/>
        <w:spacing w:line="360" w:lineRule="auto"/>
        <w:ind w:firstLine="480" w:firstLineChars="200"/>
        <w:rPr>
          <w:rFonts w:hAnsi="宋体"/>
          <w:color w:val="auto"/>
          <w:sz w:val="24"/>
          <w:szCs w:val="24"/>
        </w:rPr>
      </w:pPr>
      <w:r>
        <w:rPr>
          <w:rFonts w:hAnsi="宋体"/>
          <w:color w:val="auto"/>
          <w:sz w:val="24"/>
          <w:szCs w:val="24"/>
        </w:rPr>
        <w:t>验收监测期间，项目厂区污水站总排口各污染物浓度满足</w:t>
      </w:r>
      <w:r>
        <w:rPr>
          <w:color w:val="auto"/>
          <w:sz w:val="24"/>
          <w:szCs w:val="24"/>
        </w:rPr>
        <w:t>《</w:t>
      </w:r>
      <w:r>
        <w:rPr>
          <w:rFonts w:hint="eastAsia"/>
          <w:color w:val="auto"/>
          <w:sz w:val="24"/>
          <w:szCs w:val="24"/>
        </w:rPr>
        <w:t>污水综合排放</w:t>
      </w:r>
      <w:r>
        <w:rPr>
          <w:color w:val="auto"/>
          <w:sz w:val="24"/>
          <w:szCs w:val="24"/>
        </w:rPr>
        <w:t>标准</w:t>
      </w:r>
      <w:r>
        <w:rPr>
          <w:rFonts w:hint="eastAsia"/>
          <w:color w:val="auto"/>
          <w:sz w:val="24"/>
          <w:szCs w:val="24"/>
        </w:rPr>
        <w:t>》（</w:t>
      </w:r>
      <w:r>
        <w:rPr>
          <w:color w:val="auto"/>
          <w:sz w:val="24"/>
          <w:szCs w:val="24"/>
        </w:rPr>
        <w:t>GB8978-1996</w:t>
      </w:r>
      <w:r>
        <w:rPr>
          <w:rFonts w:hint="eastAsia"/>
          <w:color w:val="auto"/>
          <w:sz w:val="24"/>
          <w:szCs w:val="24"/>
        </w:rPr>
        <w:t>）</w:t>
      </w:r>
      <w:r>
        <w:rPr>
          <w:color w:val="auto"/>
          <w:sz w:val="24"/>
          <w:szCs w:val="24"/>
        </w:rPr>
        <w:t>表</w:t>
      </w:r>
      <w:r>
        <w:rPr>
          <w:rFonts w:hint="eastAsia"/>
          <w:color w:val="auto"/>
          <w:sz w:val="24"/>
          <w:szCs w:val="24"/>
        </w:rPr>
        <w:t>4</w:t>
      </w:r>
      <w:r>
        <w:rPr>
          <w:color w:val="auto"/>
          <w:sz w:val="24"/>
          <w:szCs w:val="24"/>
        </w:rPr>
        <w:t>中的</w:t>
      </w:r>
      <w:r>
        <w:rPr>
          <w:rFonts w:hint="eastAsia"/>
          <w:color w:val="auto"/>
          <w:sz w:val="24"/>
          <w:szCs w:val="24"/>
        </w:rPr>
        <w:t>三级标准限值和</w:t>
      </w:r>
      <w:r>
        <w:rPr>
          <w:rFonts w:hint="eastAsia"/>
          <w:color w:val="auto"/>
          <w:sz w:val="24"/>
          <w:szCs w:val="24"/>
          <w:highlight w:val="none"/>
          <w:lang w:val="en-US" w:eastAsia="zh-CN"/>
        </w:rPr>
        <w:t>《污水排入城镇下水道水质标准》（GB/T 31962-2015）表1中A等级标准</w:t>
      </w:r>
      <w:r>
        <w:rPr>
          <w:rFonts w:hint="eastAsia"/>
          <w:color w:val="auto"/>
          <w:sz w:val="24"/>
          <w:szCs w:val="24"/>
        </w:rPr>
        <w:t>限值要求</w:t>
      </w:r>
      <w:r>
        <w:rPr>
          <w:rFonts w:hAnsi="宋体"/>
          <w:color w:val="auto"/>
          <w:sz w:val="24"/>
          <w:szCs w:val="24"/>
        </w:rPr>
        <w:t>。</w:t>
      </w:r>
    </w:p>
    <w:p>
      <w:pPr>
        <w:adjustRightInd w:val="0"/>
        <w:snapToGrid w:val="0"/>
        <w:spacing w:line="360" w:lineRule="auto"/>
        <w:ind w:firstLine="474" w:firstLineChars="200"/>
        <w:outlineLvl w:val="1"/>
        <w:rPr>
          <w:b/>
          <w:color w:val="auto"/>
          <w:spacing w:val="-2"/>
          <w:kern w:val="0"/>
          <w:sz w:val="24"/>
          <w:szCs w:val="24"/>
        </w:rPr>
      </w:pPr>
      <w:r>
        <w:rPr>
          <w:rFonts w:hint="eastAsia"/>
          <w:b/>
          <w:color w:val="auto"/>
          <w:spacing w:val="-2"/>
          <w:kern w:val="0"/>
          <w:sz w:val="24"/>
          <w:szCs w:val="24"/>
        </w:rPr>
        <w:t>3</w:t>
      </w:r>
      <w:r>
        <w:rPr>
          <w:b/>
          <w:color w:val="auto"/>
          <w:spacing w:val="-2"/>
          <w:kern w:val="0"/>
          <w:sz w:val="24"/>
          <w:szCs w:val="24"/>
        </w:rPr>
        <w:t>、废气</w:t>
      </w:r>
    </w:p>
    <w:p>
      <w:pPr>
        <w:widowControl w:val="0"/>
        <w:bidi w:val="0"/>
        <w:spacing w:line="360" w:lineRule="auto"/>
        <w:ind w:firstLine="480" w:firstLineChars="200"/>
        <w:jc w:val="both"/>
        <w:rPr>
          <w:color w:val="auto"/>
          <w:sz w:val="24"/>
          <w:szCs w:val="24"/>
          <w:highlight w:val="none"/>
        </w:rPr>
      </w:pPr>
      <w:r>
        <w:rPr>
          <w:color w:val="auto"/>
          <w:sz w:val="24"/>
          <w:szCs w:val="24"/>
        </w:rPr>
        <w:t>验收监测期间，</w:t>
      </w:r>
      <w:r>
        <w:rPr>
          <w:rFonts w:hint="default"/>
          <w:color w:val="auto"/>
          <w:sz w:val="24"/>
          <w:szCs w:val="24"/>
          <w:lang w:val="en-US" w:eastAsia="zh-CN"/>
        </w:rPr>
        <w:t>项目</w:t>
      </w:r>
      <w:r>
        <w:rPr>
          <w:rFonts w:hint="eastAsia"/>
          <w:color w:val="auto"/>
          <w:sz w:val="24"/>
          <w:szCs w:val="24"/>
          <w:lang w:val="en-US" w:eastAsia="zh-CN"/>
        </w:rPr>
        <w:t>焊接</w:t>
      </w:r>
      <w:r>
        <w:rPr>
          <w:rFonts w:hint="default"/>
          <w:color w:val="auto"/>
          <w:sz w:val="24"/>
          <w:szCs w:val="24"/>
          <w:lang w:val="en-US" w:eastAsia="zh-CN"/>
        </w:rPr>
        <w:t>过程中产生的</w:t>
      </w:r>
      <w:r>
        <w:rPr>
          <w:rFonts w:hint="eastAsia"/>
          <w:color w:val="auto"/>
          <w:sz w:val="24"/>
          <w:szCs w:val="24"/>
          <w:lang w:val="en-US" w:eastAsia="zh-CN"/>
        </w:rPr>
        <w:t>焊接</w:t>
      </w:r>
      <w:r>
        <w:rPr>
          <w:rFonts w:hint="default"/>
          <w:color w:val="auto"/>
          <w:sz w:val="24"/>
          <w:szCs w:val="24"/>
          <w:lang w:val="en-US" w:eastAsia="zh-CN"/>
        </w:rPr>
        <w:t>废气由集气罩收集后经</w:t>
      </w:r>
      <w:r>
        <w:rPr>
          <w:rFonts w:hint="eastAsia"/>
          <w:color w:val="auto"/>
          <w:sz w:val="24"/>
          <w:szCs w:val="24"/>
          <w:lang w:val="en-US" w:eastAsia="zh-CN"/>
        </w:rPr>
        <w:t>固定式焊烟净化器处理后，无组织排放</w:t>
      </w:r>
      <w:r>
        <w:rPr>
          <w:rFonts w:hint="eastAsia"/>
          <w:color w:val="auto"/>
          <w:sz w:val="24"/>
          <w:szCs w:val="24"/>
          <w:highlight w:val="none"/>
          <w:lang w:val="en-US" w:eastAsia="zh-CN"/>
        </w:rPr>
        <w:t>。</w:t>
      </w:r>
    </w:p>
    <w:p>
      <w:pPr>
        <w:widowControl w:val="0"/>
        <w:bidi w:val="0"/>
        <w:spacing w:line="360" w:lineRule="auto"/>
        <w:ind w:firstLine="480" w:firstLineChars="200"/>
        <w:jc w:val="both"/>
        <w:rPr>
          <w:rFonts w:hint="eastAsia"/>
          <w:color w:val="auto"/>
          <w:sz w:val="24"/>
          <w:szCs w:val="24"/>
          <w:lang w:val="en-US" w:eastAsia="zh-CN"/>
        </w:rPr>
      </w:pPr>
      <w:r>
        <w:rPr>
          <w:rFonts w:hint="eastAsia"/>
          <w:color w:val="auto"/>
          <w:sz w:val="24"/>
          <w:szCs w:val="24"/>
          <w:highlight w:val="none"/>
          <w:lang w:val="en-US" w:eastAsia="zh-CN"/>
        </w:rPr>
        <w:t>监测结果表明：</w:t>
      </w:r>
      <w:r>
        <w:rPr>
          <w:rFonts w:hint="eastAsia"/>
          <w:color w:val="auto"/>
          <w:sz w:val="24"/>
          <w:szCs w:val="24"/>
          <w:lang w:val="en-US" w:eastAsia="zh-CN"/>
        </w:rPr>
        <w:t>颗粒物最大排放浓度251</w:t>
      </w:r>
      <w:r>
        <w:rPr>
          <w:rFonts w:hint="default"/>
          <w:color w:val="auto"/>
          <w:sz w:val="24"/>
          <w:szCs w:val="24"/>
          <w:lang w:val="en-US" w:eastAsia="zh-CN"/>
        </w:rPr>
        <w:t>μ</w:t>
      </w:r>
      <w:r>
        <w:rPr>
          <w:rFonts w:hint="default"/>
          <w:color w:val="auto"/>
          <w:sz w:val="24"/>
          <w:szCs w:val="24"/>
        </w:rPr>
        <w:t>g/m</w:t>
      </w:r>
      <w:r>
        <w:rPr>
          <w:rFonts w:hint="eastAsia"/>
          <w:color w:val="auto"/>
          <w:sz w:val="24"/>
          <w:szCs w:val="24"/>
          <w:vertAlign w:val="superscript"/>
          <w:lang w:val="en-US" w:eastAsia="zh-CN"/>
        </w:rPr>
        <w:t>3</w:t>
      </w:r>
      <w:r>
        <w:rPr>
          <w:rFonts w:hint="eastAsia"/>
          <w:color w:val="auto"/>
          <w:sz w:val="24"/>
          <w:szCs w:val="24"/>
          <w:lang w:val="en-US" w:eastAsia="zh-CN"/>
        </w:rPr>
        <w:t>，满足《大气污染物综合排放标准》（GB16297-1996)表2排放限值（周界外浓度最高点1.0mg/m</w:t>
      </w:r>
      <w:r>
        <w:rPr>
          <w:rFonts w:hint="eastAsia"/>
          <w:color w:val="auto"/>
          <w:sz w:val="24"/>
          <w:szCs w:val="24"/>
          <w:vertAlign w:val="superscript"/>
          <w:lang w:val="en-US" w:eastAsia="zh-CN"/>
        </w:rPr>
        <w:t>3</w:t>
      </w:r>
      <w:r>
        <w:rPr>
          <w:rFonts w:hint="eastAsia"/>
          <w:color w:val="auto"/>
          <w:sz w:val="24"/>
          <w:szCs w:val="24"/>
          <w:lang w:val="en-US" w:eastAsia="zh-CN"/>
        </w:rPr>
        <w:t>）。</w:t>
      </w:r>
    </w:p>
    <w:p>
      <w:pPr>
        <w:adjustRightInd w:val="0"/>
        <w:snapToGrid w:val="0"/>
        <w:spacing w:line="360" w:lineRule="auto"/>
        <w:ind w:firstLine="474" w:firstLineChars="200"/>
        <w:outlineLvl w:val="1"/>
        <w:rPr>
          <w:b/>
          <w:color w:val="auto"/>
          <w:spacing w:val="-2"/>
          <w:kern w:val="0"/>
          <w:sz w:val="24"/>
          <w:szCs w:val="24"/>
        </w:rPr>
      </w:pPr>
      <w:r>
        <w:rPr>
          <w:rFonts w:hint="eastAsia"/>
          <w:b/>
          <w:color w:val="auto"/>
          <w:spacing w:val="-2"/>
          <w:kern w:val="0"/>
          <w:sz w:val="24"/>
          <w:szCs w:val="24"/>
        </w:rPr>
        <w:t>4</w:t>
      </w:r>
      <w:r>
        <w:rPr>
          <w:b/>
          <w:color w:val="auto"/>
          <w:spacing w:val="-2"/>
          <w:kern w:val="0"/>
          <w:sz w:val="24"/>
          <w:szCs w:val="24"/>
        </w:rPr>
        <w:t>、噪声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eastAsia" w:eastAsiaTheme="minorEastAsia"/>
          <w:color w:val="auto"/>
          <w:kern w:val="0"/>
          <w:sz w:val="24"/>
          <w:szCs w:val="24"/>
          <w:lang w:bidi="ar"/>
        </w:rPr>
      </w:pPr>
      <w:r>
        <w:rPr>
          <w:color w:val="auto"/>
          <w:sz w:val="24"/>
          <w:szCs w:val="24"/>
        </w:rPr>
        <w:t>验收监测期间，厂界四周昼间噪声值范围在</w:t>
      </w:r>
      <w:r>
        <w:rPr>
          <w:rFonts w:hint="eastAsia"/>
          <w:color w:val="auto"/>
          <w:sz w:val="24"/>
          <w:szCs w:val="24"/>
          <w:lang w:val="en-US" w:eastAsia="zh-CN"/>
        </w:rPr>
        <w:t>57</w:t>
      </w:r>
      <w:r>
        <w:rPr>
          <w:rFonts w:hint="default"/>
          <w:color w:val="auto"/>
          <w:sz w:val="24"/>
          <w:szCs w:val="24"/>
        </w:rPr>
        <w:t>dB(A)</w:t>
      </w:r>
      <w:r>
        <w:rPr>
          <w:rFonts w:hint="eastAsia"/>
          <w:color w:val="auto"/>
          <w:sz w:val="24"/>
          <w:szCs w:val="24"/>
          <w:lang w:val="en-US" w:eastAsia="zh-CN"/>
        </w:rPr>
        <w:t>~62</w:t>
      </w:r>
      <w:r>
        <w:rPr>
          <w:rFonts w:hint="default"/>
          <w:color w:val="auto"/>
          <w:sz w:val="24"/>
          <w:szCs w:val="24"/>
        </w:rPr>
        <w:t>dB(A)</w:t>
      </w:r>
      <w:r>
        <w:rPr>
          <w:color w:val="auto"/>
          <w:sz w:val="24"/>
          <w:szCs w:val="24"/>
        </w:rPr>
        <w:t>之间，满</w:t>
      </w:r>
      <w:r>
        <w:rPr>
          <w:rFonts w:eastAsia="F4"/>
          <w:color w:val="auto"/>
          <w:kern w:val="0"/>
          <w:sz w:val="24"/>
          <w:szCs w:val="24"/>
          <w:lang w:bidi="ar"/>
        </w:rPr>
        <w:t>足《工业企业厂界环境噪声排放标准》（</w:t>
      </w:r>
      <w:r>
        <w:rPr>
          <w:color w:val="auto"/>
          <w:kern w:val="0"/>
          <w:sz w:val="24"/>
          <w:szCs w:val="24"/>
          <w:lang w:bidi="ar"/>
        </w:rPr>
        <w:t>GB12348-2008</w:t>
      </w:r>
      <w:r>
        <w:rPr>
          <w:rFonts w:eastAsia="F4"/>
          <w:color w:val="auto"/>
          <w:kern w:val="0"/>
          <w:sz w:val="24"/>
          <w:szCs w:val="24"/>
          <w:lang w:bidi="ar"/>
        </w:rPr>
        <w:t>）表</w:t>
      </w:r>
      <w:r>
        <w:rPr>
          <w:color w:val="auto"/>
          <w:kern w:val="0"/>
          <w:sz w:val="24"/>
          <w:szCs w:val="24"/>
          <w:lang w:bidi="ar"/>
        </w:rPr>
        <w:t>1</w:t>
      </w:r>
      <w:r>
        <w:rPr>
          <w:rFonts w:eastAsia="F4"/>
          <w:color w:val="auto"/>
          <w:kern w:val="0"/>
          <w:sz w:val="24"/>
          <w:szCs w:val="24"/>
          <w:lang w:bidi="ar"/>
        </w:rPr>
        <w:t>中</w:t>
      </w:r>
      <w:r>
        <w:rPr>
          <w:color w:val="auto"/>
          <w:kern w:val="0"/>
          <w:sz w:val="24"/>
          <w:szCs w:val="24"/>
          <w:lang w:bidi="ar"/>
        </w:rPr>
        <w:t>3</w:t>
      </w:r>
      <w:r>
        <w:rPr>
          <w:rFonts w:eastAsia="F4"/>
          <w:color w:val="auto"/>
          <w:kern w:val="0"/>
          <w:sz w:val="24"/>
          <w:szCs w:val="24"/>
          <w:lang w:bidi="ar"/>
        </w:rPr>
        <w:t>类声环境功能区标准要求（昼间：65</w:t>
      </w:r>
      <w:r>
        <w:rPr>
          <w:color w:val="auto"/>
          <w:sz w:val="24"/>
          <w:szCs w:val="24"/>
        </w:rPr>
        <w:t>dB(A)</w:t>
      </w:r>
      <w:r>
        <w:rPr>
          <w:rFonts w:eastAsia="F4"/>
          <w:color w:val="auto"/>
          <w:kern w:val="0"/>
          <w:sz w:val="24"/>
          <w:szCs w:val="24"/>
          <w:lang w:bidi="ar"/>
        </w:rPr>
        <w:t>）。</w:t>
      </w:r>
    </w:p>
    <w:p>
      <w:pPr>
        <w:pStyle w:val="18"/>
        <w:spacing w:line="360" w:lineRule="auto"/>
        <w:ind w:firstLine="482" w:firstLineChars="200"/>
        <w:rPr>
          <w:rFonts w:hint="eastAsia" w:ascii="Times New Roman" w:hAnsi="Times New Roman"/>
          <w:b/>
          <w:color w:val="auto"/>
          <w:sz w:val="24"/>
          <w:szCs w:val="24"/>
        </w:rPr>
      </w:pPr>
      <w:r>
        <w:rPr>
          <w:rFonts w:hint="eastAsia" w:ascii="Times New Roman" w:hAnsi="Times New Roman"/>
          <w:b/>
          <w:color w:val="auto"/>
          <w:sz w:val="24"/>
          <w:szCs w:val="24"/>
        </w:rPr>
        <w:t>5、总量控制指标</w:t>
      </w:r>
    </w:p>
    <w:p>
      <w:pPr>
        <w:pStyle w:val="18"/>
        <w:spacing w:line="360" w:lineRule="auto"/>
        <w:ind w:firstLine="480" w:firstLineChars="200"/>
        <w:rPr>
          <w:rFonts w:hint="eastAsia" w:ascii="Times New Roman" w:hAnsi="Times New Roman"/>
          <w:color w:val="auto"/>
          <w:sz w:val="24"/>
          <w:szCs w:val="24"/>
        </w:rPr>
      </w:pPr>
      <w:r>
        <w:rPr>
          <w:rFonts w:hint="eastAsia" w:ascii="Times New Roman" w:hAnsi="Times New Roman"/>
          <w:color w:val="auto"/>
          <w:sz w:val="24"/>
          <w:szCs w:val="24"/>
        </w:rPr>
        <w:t>本项目总量控制指标为颗粒物和VOCs。经核算，项目排放污染物均可满足环评</w:t>
      </w:r>
      <w:r>
        <w:rPr>
          <w:rFonts w:hint="eastAsia" w:ascii="Times New Roman" w:hAnsi="Times New Roman"/>
          <w:color w:val="auto"/>
          <w:sz w:val="24"/>
          <w:szCs w:val="24"/>
          <w:lang w:val="en-US" w:eastAsia="zh-CN"/>
        </w:rPr>
        <w:t>文件内</w:t>
      </w:r>
      <w:r>
        <w:rPr>
          <w:rFonts w:hint="eastAsia" w:ascii="Times New Roman" w:hAnsi="Times New Roman"/>
          <w:color w:val="auto"/>
          <w:sz w:val="24"/>
          <w:szCs w:val="24"/>
        </w:rPr>
        <w:t>总量指标要求。</w:t>
      </w:r>
    </w:p>
    <w:p>
      <w:pPr>
        <w:adjustRightInd w:val="0"/>
        <w:snapToGrid w:val="0"/>
        <w:spacing w:line="360" w:lineRule="auto"/>
        <w:ind w:firstLine="474" w:firstLineChars="200"/>
        <w:outlineLvl w:val="0"/>
        <w:rPr>
          <w:b/>
          <w:color w:val="auto"/>
          <w:spacing w:val="-2"/>
          <w:kern w:val="0"/>
          <w:sz w:val="24"/>
          <w:szCs w:val="24"/>
        </w:rPr>
      </w:pPr>
      <w:r>
        <w:rPr>
          <w:b/>
          <w:color w:val="auto"/>
          <w:spacing w:val="-2"/>
          <w:kern w:val="0"/>
          <w:sz w:val="24"/>
          <w:szCs w:val="24"/>
        </w:rPr>
        <w:t>五、验收结论</w:t>
      </w:r>
    </w:p>
    <w:p>
      <w:pPr>
        <w:spacing w:line="360" w:lineRule="auto"/>
        <w:ind w:firstLine="480" w:firstLineChars="200"/>
        <w:rPr>
          <w:rFonts w:hint="eastAsia"/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项目落实了环评及环评批复对项目的环境保护管理要求，验收监测期间各类污染物均达标排放，按照国家和山东省关于建设项目竣工环境保护验收的有关规定，</w:t>
      </w:r>
      <w:r>
        <w:rPr>
          <w:rFonts w:hint="eastAsia"/>
          <w:color w:val="auto"/>
          <w:sz w:val="24"/>
          <w:szCs w:val="24"/>
          <w:lang w:val="en-US" w:eastAsia="zh-CN"/>
        </w:rPr>
        <w:t>烟台近江汽车零部件有限公司汽车零部件（管件）加工项目环境影响报告表</w:t>
      </w:r>
      <w:r>
        <w:rPr>
          <w:rFonts w:hint="eastAsia"/>
          <w:color w:val="auto"/>
          <w:sz w:val="24"/>
          <w:szCs w:val="24"/>
        </w:rPr>
        <w:t>具备了竣工验收的条件，在严格落实各项环保治理措施及本报告提出的建议和措施的前提下，建议该项目通过建设项目竣工环境保护验收。</w:t>
      </w:r>
    </w:p>
    <w:p>
      <w:pPr>
        <w:adjustRightInd w:val="0"/>
        <w:snapToGrid w:val="0"/>
        <w:spacing w:line="360" w:lineRule="auto"/>
        <w:ind w:firstLine="474" w:firstLineChars="200"/>
        <w:outlineLvl w:val="0"/>
        <w:rPr>
          <w:b/>
          <w:color w:val="auto"/>
          <w:spacing w:val="-2"/>
          <w:kern w:val="0"/>
          <w:sz w:val="24"/>
          <w:szCs w:val="24"/>
        </w:rPr>
      </w:pPr>
      <w:r>
        <w:rPr>
          <w:b/>
          <w:color w:val="auto"/>
          <w:spacing w:val="-2"/>
          <w:kern w:val="0"/>
          <w:sz w:val="24"/>
          <w:szCs w:val="24"/>
        </w:rPr>
        <w:t>六、建议和措施</w:t>
      </w:r>
    </w:p>
    <w:p>
      <w:pPr>
        <w:adjustRightInd w:val="0"/>
        <w:snapToGrid w:val="0"/>
        <w:spacing w:line="360" w:lineRule="auto"/>
        <w:ind w:firstLine="480" w:firstLineChars="200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1、应完善环境管理规章制度，落实防渗措施，制定具有可操作性的环保规章以进一步加强环境管理。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default" w:eastAsia="宋体"/>
          <w:color w:val="auto"/>
          <w:sz w:val="24"/>
          <w:szCs w:val="24"/>
          <w:lang w:val="en-US" w:eastAsia="zh-CN"/>
        </w:rPr>
      </w:pPr>
      <w:r>
        <w:rPr>
          <w:rFonts w:hint="eastAsia"/>
          <w:color w:val="auto"/>
          <w:sz w:val="24"/>
          <w:szCs w:val="24"/>
          <w:lang w:val="en-US" w:eastAsia="zh-CN"/>
        </w:rPr>
        <w:t>2、</w:t>
      </w:r>
      <w:bookmarkStart w:id="1" w:name="OLE_LINK2"/>
      <w:r>
        <w:rPr>
          <w:rFonts w:hint="eastAsia"/>
          <w:color w:val="auto"/>
          <w:sz w:val="24"/>
          <w:szCs w:val="24"/>
          <w:lang w:val="en-US" w:eastAsia="zh-CN"/>
        </w:rPr>
        <w:t>进一步加强无组织废气的收集，减少废气对外环境的影响。</w:t>
      </w:r>
      <w:bookmarkEnd w:id="1"/>
    </w:p>
    <w:p>
      <w:pPr>
        <w:adjustRightInd w:val="0"/>
        <w:snapToGrid w:val="0"/>
        <w:spacing w:line="360" w:lineRule="auto"/>
        <w:ind w:firstLine="480" w:firstLineChars="200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  <w:lang w:val="en-US" w:eastAsia="zh-CN"/>
        </w:rPr>
        <w:t>3</w:t>
      </w:r>
      <w:r>
        <w:rPr>
          <w:rFonts w:hint="eastAsia"/>
          <w:color w:val="auto"/>
          <w:sz w:val="24"/>
          <w:szCs w:val="24"/>
        </w:rPr>
        <w:t>、加强危险废物的管理工作，落实危废管理制度，建立健全台账登记制度。</w:t>
      </w:r>
    </w:p>
    <w:bookmarkEnd w:id="2"/>
    <w:p>
      <w:pPr>
        <w:spacing w:line="360" w:lineRule="auto"/>
        <w:ind w:firstLine="482" w:firstLineChars="200"/>
        <w:rPr>
          <w:b/>
          <w:sz w:val="24"/>
          <w:szCs w:val="24"/>
        </w:rPr>
      </w:pPr>
    </w:p>
    <w:p>
      <w:pPr>
        <w:spacing w:line="360" w:lineRule="auto"/>
        <w:ind w:firstLine="482" w:firstLineChars="200"/>
        <w:jc w:val="right"/>
        <w:rPr>
          <w:b/>
          <w:bCs/>
          <w:sz w:val="24"/>
        </w:rPr>
      </w:pPr>
      <w:r>
        <w:rPr>
          <w:b/>
          <w:bCs/>
          <w:sz w:val="24"/>
        </w:rPr>
        <w:t>验收工作组</w:t>
      </w:r>
    </w:p>
    <w:p>
      <w:pPr>
        <w:spacing w:line="360" w:lineRule="auto"/>
        <w:ind w:firstLine="482" w:firstLineChars="200"/>
        <w:jc w:val="right"/>
        <w:rPr>
          <w:b/>
          <w:bCs/>
          <w:sz w:val="24"/>
        </w:rPr>
      </w:pPr>
      <w:r>
        <w:rPr>
          <w:rFonts w:hint="eastAsia"/>
          <w:b/>
          <w:bCs/>
          <w:sz w:val="24"/>
        </w:rPr>
        <w:t>2026</w:t>
      </w:r>
      <w:r>
        <w:rPr>
          <w:b/>
          <w:bCs/>
          <w:sz w:val="24"/>
        </w:rPr>
        <w:t>年</w:t>
      </w:r>
      <w:r>
        <w:rPr>
          <w:rFonts w:hint="eastAsia"/>
          <w:b/>
          <w:bCs/>
          <w:sz w:val="24"/>
          <w:lang w:val="en-US" w:eastAsia="zh-CN"/>
        </w:rPr>
        <w:t>4</w:t>
      </w:r>
      <w:r>
        <w:rPr>
          <w:b/>
          <w:bCs/>
          <w:sz w:val="24"/>
        </w:rPr>
        <w:t>月</w:t>
      </w:r>
      <w:r>
        <w:rPr>
          <w:rFonts w:hint="eastAsia"/>
          <w:b/>
          <w:bCs/>
          <w:sz w:val="24"/>
        </w:rPr>
        <w:t>2</w:t>
      </w:r>
      <w:r>
        <w:rPr>
          <w:rFonts w:hint="eastAsia"/>
          <w:b/>
          <w:bCs/>
          <w:sz w:val="24"/>
          <w:lang w:val="en-US" w:eastAsia="zh-CN"/>
        </w:rPr>
        <w:t>7</w:t>
      </w:r>
      <w:r>
        <w:rPr>
          <w:b/>
          <w:bCs/>
          <w:sz w:val="24"/>
        </w:rPr>
        <w:t>日</w:t>
      </w:r>
    </w:p>
    <w:sectPr>
      <w:headerReference r:id="rId3" w:type="default"/>
      <w:pgSz w:w="11906" w:h="16838"/>
      <w:pgMar w:top="1440" w:right="1418" w:bottom="1440" w:left="141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Txt">
    <w:panose1 w:val="00000400000000000000"/>
    <w:charset w:val="00"/>
    <w:family w:val="auto"/>
    <w:pitch w:val="default"/>
    <w:sig w:usb0="80000227" w:usb1="00000000" w:usb2="00000000" w:usb3="00000000" w:csb0="0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Times">
    <w:altName w:val="Times New Roman"/>
    <w:panose1 w:val="02020603050405020304"/>
    <w:charset w:val="00"/>
    <w:family w:val="roman"/>
    <w:pitch w:val="default"/>
    <w:sig w:usb0="00000000" w:usb1="00000000" w:usb2="00000009" w:usb3="00000000" w:csb0="000001FF" w:csb1="00000000"/>
  </w:font>
  <w:font w:name="F4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5BAC"/>
    <w:rsid w:val="00006982"/>
    <w:rsid w:val="00013132"/>
    <w:rsid w:val="00016688"/>
    <w:rsid w:val="00022C2A"/>
    <w:rsid w:val="00044C9F"/>
    <w:rsid w:val="0005508E"/>
    <w:rsid w:val="00055E9D"/>
    <w:rsid w:val="00057F77"/>
    <w:rsid w:val="000602B0"/>
    <w:rsid w:val="00062DEA"/>
    <w:rsid w:val="000634C9"/>
    <w:rsid w:val="00066E08"/>
    <w:rsid w:val="00070482"/>
    <w:rsid w:val="00077F7F"/>
    <w:rsid w:val="0008664B"/>
    <w:rsid w:val="0009324A"/>
    <w:rsid w:val="000974E6"/>
    <w:rsid w:val="000A4164"/>
    <w:rsid w:val="000A789A"/>
    <w:rsid w:val="000C3B73"/>
    <w:rsid w:val="000C74F5"/>
    <w:rsid w:val="000D559B"/>
    <w:rsid w:val="000E2B08"/>
    <w:rsid w:val="000E2B90"/>
    <w:rsid w:val="00103284"/>
    <w:rsid w:val="001130A3"/>
    <w:rsid w:val="00116321"/>
    <w:rsid w:val="00124952"/>
    <w:rsid w:val="00125D8C"/>
    <w:rsid w:val="00126D19"/>
    <w:rsid w:val="00131696"/>
    <w:rsid w:val="0013245C"/>
    <w:rsid w:val="00134C80"/>
    <w:rsid w:val="001517AF"/>
    <w:rsid w:val="00152AB8"/>
    <w:rsid w:val="00153523"/>
    <w:rsid w:val="001636F7"/>
    <w:rsid w:val="00172A27"/>
    <w:rsid w:val="00174E1F"/>
    <w:rsid w:val="001824E8"/>
    <w:rsid w:val="0018281A"/>
    <w:rsid w:val="0018290C"/>
    <w:rsid w:val="00182A86"/>
    <w:rsid w:val="001944EF"/>
    <w:rsid w:val="001A66C7"/>
    <w:rsid w:val="001B0819"/>
    <w:rsid w:val="001B40F2"/>
    <w:rsid w:val="001B450B"/>
    <w:rsid w:val="001C076E"/>
    <w:rsid w:val="001C43A7"/>
    <w:rsid w:val="001F1CCF"/>
    <w:rsid w:val="001F7A0D"/>
    <w:rsid w:val="002042F8"/>
    <w:rsid w:val="0021345D"/>
    <w:rsid w:val="002174DB"/>
    <w:rsid w:val="00225A9E"/>
    <w:rsid w:val="00225F0F"/>
    <w:rsid w:val="00225FF6"/>
    <w:rsid w:val="0023468B"/>
    <w:rsid w:val="002366CD"/>
    <w:rsid w:val="00253E25"/>
    <w:rsid w:val="00295FD7"/>
    <w:rsid w:val="002A4029"/>
    <w:rsid w:val="002B59B7"/>
    <w:rsid w:val="002C35D7"/>
    <w:rsid w:val="002D728E"/>
    <w:rsid w:val="002E7169"/>
    <w:rsid w:val="002F4B82"/>
    <w:rsid w:val="003055DF"/>
    <w:rsid w:val="00310FA9"/>
    <w:rsid w:val="00325C14"/>
    <w:rsid w:val="00337E64"/>
    <w:rsid w:val="003410C8"/>
    <w:rsid w:val="003478A2"/>
    <w:rsid w:val="00362860"/>
    <w:rsid w:val="00396820"/>
    <w:rsid w:val="003977B0"/>
    <w:rsid w:val="003A0D48"/>
    <w:rsid w:val="003C5547"/>
    <w:rsid w:val="003C6323"/>
    <w:rsid w:val="003E7E5C"/>
    <w:rsid w:val="003F07C3"/>
    <w:rsid w:val="00412FCF"/>
    <w:rsid w:val="004138F9"/>
    <w:rsid w:val="00425FF2"/>
    <w:rsid w:val="004319C9"/>
    <w:rsid w:val="0043553C"/>
    <w:rsid w:val="00454F87"/>
    <w:rsid w:val="004649A2"/>
    <w:rsid w:val="00465679"/>
    <w:rsid w:val="0047006E"/>
    <w:rsid w:val="00477BF4"/>
    <w:rsid w:val="004914BF"/>
    <w:rsid w:val="00492335"/>
    <w:rsid w:val="004960FE"/>
    <w:rsid w:val="004A57C4"/>
    <w:rsid w:val="004B6092"/>
    <w:rsid w:val="004C110F"/>
    <w:rsid w:val="004C258A"/>
    <w:rsid w:val="004D4DCF"/>
    <w:rsid w:val="004F4C6A"/>
    <w:rsid w:val="00511FEC"/>
    <w:rsid w:val="00515769"/>
    <w:rsid w:val="0052322C"/>
    <w:rsid w:val="005414B2"/>
    <w:rsid w:val="0054398C"/>
    <w:rsid w:val="00543E26"/>
    <w:rsid w:val="0054514E"/>
    <w:rsid w:val="00545F05"/>
    <w:rsid w:val="00556638"/>
    <w:rsid w:val="0055763B"/>
    <w:rsid w:val="00571731"/>
    <w:rsid w:val="00575188"/>
    <w:rsid w:val="00593D23"/>
    <w:rsid w:val="005A7B84"/>
    <w:rsid w:val="005B30C0"/>
    <w:rsid w:val="005C2C4F"/>
    <w:rsid w:val="005D656A"/>
    <w:rsid w:val="005F5223"/>
    <w:rsid w:val="00623400"/>
    <w:rsid w:val="0063338E"/>
    <w:rsid w:val="006333C0"/>
    <w:rsid w:val="0064289F"/>
    <w:rsid w:val="0065177F"/>
    <w:rsid w:val="00651CA3"/>
    <w:rsid w:val="006630F2"/>
    <w:rsid w:val="00692E40"/>
    <w:rsid w:val="006B2E0F"/>
    <w:rsid w:val="006C062D"/>
    <w:rsid w:val="006D5495"/>
    <w:rsid w:val="006D5D85"/>
    <w:rsid w:val="006F2EE6"/>
    <w:rsid w:val="00707A72"/>
    <w:rsid w:val="00724864"/>
    <w:rsid w:val="0073268E"/>
    <w:rsid w:val="007406B6"/>
    <w:rsid w:val="007556B2"/>
    <w:rsid w:val="00776DBA"/>
    <w:rsid w:val="00780489"/>
    <w:rsid w:val="00791C66"/>
    <w:rsid w:val="00794D11"/>
    <w:rsid w:val="00796826"/>
    <w:rsid w:val="007978F2"/>
    <w:rsid w:val="007A51A5"/>
    <w:rsid w:val="007B0FA3"/>
    <w:rsid w:val="007B26F8"/>
    <w:rsid w:val="007B43D1"/>
    <w:rsid w:val="007C63C7"/>
    <w:rsid w:val="007D6DCF"/>
    <w:rsid w:val="007E3E6C"/>
    <w:rsid w:val="007F144C"/>
    <w:rsid w:val="007F1470"/>
    <w:rsid w:val="007F2A3B"/>
    <w:rsid w:val="00800C1A"/>
    <w:rsid w:val="00800F94"/>
    <w:rsid w:val="008071EB"/>
    <w:rsid w:val="00807234"/>
    <w:rsid w:val="00816AE1"/>
    <w:rsid w:val="00824A34"/>
    <w:rsid w:val="00824E12"/>
    <w:rsid w:val="00827449"/>
    <w:rsid w:val="008422A1"/>
    <w:rsid w:val="0084315B"/>
    <w:rsid w:val="00854FED"/>
    <w:rsid w:val="00862516"/>
    <w:rsid w:val="008635A7"/>
    <w:rsid w:val="00872340"/>
    <w:rsid w:val="00872C28"/>
    <w:rsid w:val="00883EE8"/>
    <w:rsid w:val="00885A6E"/>
    <w:rsid w:val="0088677A"/>
    <w:rsid w:val="00886C7C"/>
    <w:rsid w:val="0089364A"/>
    <w:rsid w:val="00895211"/>
    <w:rsid w:val="008B5CE7"/>
    <w:rsid w:val="008C3038"/>
    <w:rsid w:val="008F4181"/>
    <w:rsid w:val="00935C7E"/>
    <w:rsid w:val="00942A89"/>
    <w:rsid w:val="00951770"/>
    <w:rsid w:val="00975B30"/>
    <w:rsid w:val="0098602C"/>
    <w:rsid w:val="009909EC"/>
    <w:rsid w:val="009A14CB"/>
    <w:rsid w:val="009A159C"/>
    <w:rsid w:val="009A4B6E"/>
    <w:rsid w:val="009C017C"/>
    <w:rsid w:val="009C3064"/>
    <w:rsid w:val="009E09DE"/>
    <w:rsid w:val="009F7BD4"/>
    <w:rsid w:val="00A020D8"/>
    <w:rsid w:val="00A2306E"/>
    <w:rsid w:val="00A23A07"/>
    <w:rsid w:val="00A339F9"/>
    <w:rsid w:val="00A40ECC"/>
    <w:rsid w:val="00A435B0"/>
    <w:rsid w:val="00A56D35"/>
    <w:rsid w:val="00A72D07"/>
    <w:rsid w:val="00A734B3"/>
    <w:rsid w:val="00A80F4A"/>
    <w:rsid w:val="00A81906"/>
    <w:rsid w:val="00A84E1A"/>
    <w:rsid w:val="00AA49E4"/>
    <w:rsid w:val="00AB1CDD"/>
    <w:rsid w:val="00AB41B0"/>
    <w:rsid w:val="00AB4BC5"/>
    <w:rsid w:val="00AD192E"/>
    <w:rsid w:val="00AD1CC2"/>
    <w:rsid w:val="00AD4033"/>
    <w:rsid w:val="00B05417"/>
    <w:rsid w:val="00B05B80"/>
    <w:rsid w:val="00B16F28"/>
    <w:rsid w:val="00B505BA"/>
    <w:rsid w:val="00B547E2"/>
    <w:rsid w:val="00B67661"/>
    <w:rsid w:val="00B9728F"/>
    <w:rsid w:val="00B97E5C"/>
    <w:rsid w:val="00BB7F06"/>
    <w:rsid w:val="00BC5E2B"/>
    <w:rsid w:val="00BD0874"/>
    <w:rsid w:val="00BE4694"/>
    <w:rsid w:val="00C025D7"/>
    <w:rsid w:val="00C032D2"/>
    <w:rsid w:val="00C037D6"/>
    <w:rsid w:val="00C07E91"/>
    <w:rsid w:val="00C14C28"/>
    <w:rsid w:val="00C1784A"/>
    <w:rsid w:val="00C17E5A"/>
    <w:rsid w:val="00C350C4"/>
    <w:rsid w:val="00C3665C"/>
    <w:rsid w:val="00C415E6"/>
    <w:rsid w:val="00C43E28"/>
    <w:rsid w:val="00C43FBC"/>
    <w:rsid w:val="00C51071"/>
    <w:rsid w:val="00C51A55"/>
    <w:rsid w:val="00C5240D"/>
    <w:rsid w:val="00C71E40"/>
    <w:rsid w:val="00C74295"/>
    <w:rsid w:val="00CB01FD"/>
    <w:rsid w:val="00CB73E1"/>
    <w:rsid w:val="00CC62BC"/>
    <w:rsid w:val="00CF3F10"/>
    <w:rsid w:val="00CF76D0"/>
    <w:rsid w:val="00CF79D7"/>
    <w:rsid w:val="00D418EB"/>
    <w:rsid w:val="00D5347C"/>
    <w:rsid w:val="00D61EA9"/>
    <w:rsid w:val="00D70E54"/>
    <w:rsid w:val="00D73A1F"/>
    <w:rsid w:val="00D86026"/>
    <w:rsid w:val="00DA5612"/>
    <w:rsid w:val="00DA575A"/>
    <w:rsid w:val="00DB4EC4"/>
    <w:rsid w:val="00DC2DBE"/>
    <w:rsid w:val="00DD3D26"/>
    <w:rsid w:val="00DD59B7"/>
    <w:rsid w:val="00DF1106"/>
    <w:rsid w:val="00DF3B83"/>
    <w:rsid w:val="00E0612F"/>
    <w:rsid w:val="00E064E3"/>
    <w:rsid w:val="00E10C92"/>
    <w:rsid w:val="00E12DEF"/>
    <w:rsid w:val="00E23265"/>
    <w:rsid w:val="00E34CA3"/>
    <w:rsid w:val="00E7331D"/>
    <w:rsid w:val="00E97F14"/>
    <w:rsid w:val="00EA3185"/>
    <w:rsid w:val="00EC2618"/>
    <w:rsid w:val="00ED042E"/>
    <w:rsid w:val="00EE1494"/>
    <w:rsid w:val="00F07A37"/>
    <w:rsid w:val="00F32C42"/>
    <w:rsid w:val="00F403C2"/>
    <w:rsid w:val="00F42DFB"/>
    <w:rsid w:val="00F55F9C"/>
    <w:rsid w:val="00F566D9"/>
    <w:rsid w:val="00F615A6"/>
    <w:rsid w:val="00F70C93"/>
    <w:rsid w:val="00F804EA"/>
    <w:rsid w:val="00FA64FA"/>
    <w:rsid w:val="00FA7491"/>
    <w:rsid w:val="00FB48F0"/>
    <w:rsid w:val="00FC40FE"/>
    <w:rsid w:val="00FD74D5"/>
    <w:rsid w:val="00FE3CC4"/>
    <w:rsid w:val="00FF13CC"/>
    <w:rsid w:val="00FF5613"/>
    <w:rsid w:val="091D0DD3"/>
    <w:rsid w:val="0EE348F8"/>
    <w:rsid w:val="0FA05DD7"/>
    <w:rsid w:val="14DF567A"/>
    <w:rsid w:val="16C12D5E"/>
    <w:rsid w:val="177B4237"/>
    <w:rsid w:val="1D4301C4"/>
    <w:rsid w:val="1ED860F5"/>
    <w:rsid w:val="213807DD"/>
    <w:rsid w:val="239C5A79"/>
    <w:rsid w:val="258A6F2F"/>
    <w:rsid w:val="260A4841"/>
    <w:rsid w:val="272164C9"/>
    <w:rsid w:val="27616AF6"/>
    <w:rsid w:val="27674714"/>
    <w:rsid w:val="28C749AE"/>
    <w:rsid w:val="2B7951AC"/>
    <w:rsid w:val="2C1236F9"/>
    <w:rsid w:val="2EFE3C07"/>
    <w:rsid w:val="318A6A4A"/>
    <w:rsid w:val="3C832F9C"/>
    <w:rsid w:val="3D080C3E"/>
    <w:rsid w:val="3E8756A4"/>
    <w:rsid w:val="3E917E9F"/>
    <w:rsid w:val="493D1575"/>
    <w:rsid w:val="4E396A8F"/>
    <w:rsid w:val="4E7435F6"/>
    <w:rsid w:val="4FBA4253"/>
    <w:rsid w:val="50E7286F"/>
    <w:rsid w:val="54077C82"/>
    <w:rsid w:val="597B68DB"/>
    <w:rsid w:val="5A0841FF"/>
    <w:rsid w:val="660F6EAC"/>
    <w:rsid w:val="6717222E"/>
    <w:rsid w:val="682B37E3"/>
    <w:rsid w:val="6A4F3775"/>
    <w:rsid w:val="6D1D11B7"/>
    <w:rsid w:val="6F922947"/>
    <w:rsid w:val="709B74BA"/>
    <w:rsid w:val="71D0387B"/>
    <w:rsid w:val="7633528D"/>
    <w:rsid w:val="76D0718B"/>
    <w:rsid w:val="7D5C5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3">
    <w:name w:val="heading 2"/>
    <w:basedOn w:val="1"/>
    <w:next w:val="1"/>
    <w:qFormat/>
    <w:uiPriority w:val="0"/>
    <w:pPr>
      <w:overflowPunct w:val="0"/>
      <w:topLinePunct/>
      <w:adjustRightInd w:val="0"/>
      <w:spacing w:beforeLines="50" w:line="360" w:lineRule="auto"/>
      <w:textAlignment w:val="baseline"/>
      <w:outlineLvl w:val="1"/>
    </w:pPr>
    <w:rPr>
      <w:rFonts w:eastAsia="楷体_GB2312"/>
      <w:b/>
      <w:kern w:val="44"/>
      <w:sz w:val="28"/>
    </w:rPr>
  </w:style>
  <w:style w:type="paragraph" w:styleId="4">
    <w:name w:val="heading 4"/>
    <w:basedOn w:val="1"/>
    <w:next w:val="1"/>
    <w:qFormat/>
    <w:uiPriority w:val="0"/>
    <w:pPr>
      <w:keepNext/>
      <w:keepLines/>
      <w:tabs>
        <w:tab w:val="left" w:pos="720"/>
      </w:tabs>
      <w:adjustRightInd w:val="0"/>
      <w:snapToGrid w:val="0"/>
      <w:spacing w:line="360" w:lineRule="auto"/>
      <w:textAlignment w:val="baseline"/>
      <w:outlineLvl w:val="3"/>
    </w:pPr>
    <w:rPr>
      <w:b/>
      <w:bCs/>
      <w:kern w:val="0"/>
    </w:rPr>
  </w:style>
  <w:style w:type="character" w:default="1" w:styleId="26">
    <w:name w:val="Default Paragraph Font"/>
    <w:semiHidden/>
    <w:unhideWhenUsed/>
    <w:qFormat/>
    <w:uiPriority w:val="1"/>
  </w:style>
  <w:style w:type="table" w:default="1" w:styleId="2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1"/>
    <w:qFormat/>
    <w:uiPriority w:val="0"/>
    <w:pPr>
      <w:snapToGrid w:val="0"/>
      <w:spacing w:line="320" w:lineRule="atLeast"/>
      <w:ind w:firstLine="480"/>
    </w:pPr>
  </w:style>
  <w:style w:type="paragraph" w:styleId="5">
    <w:name w:val="annotation text"/>
    <w:basedOn w:val="1"/>
    <w:link w:val="29"/>
    <w:qFormat/>
    <w:uiPriority w:val="0"/>
    <w:pPr>
      <w:jc w:val="left"/>
    </w:pPr>
    <w:rPr>
      <w:szCs w:val="21"/>
    </w:rPr>
  </w:style>
  <w:style w:type="paragraph" w:styleId="6">
    <w:name w:val="Body Text"/>
    <w:basedOn w:val="1"/>
    <w:link w:val="32"/>
    <w:qFormat/>
    <w:uiPriority w:val="0"/>
    <w:pPr>
      <w:spacing w:after="120"/>
    </w:pPr>
  </w:style>
  <w:style w:type="paragraph" w:styleId="7">
    <w:name w:val="Body Text Indent"/>
    <w:basedOn w:val="1"/>
    <w:next w:val="8"/>
    <w:link w:val="58"/>
    <w:qFormat/>
    <w:uiPriority w:val="0"/>
    <w:pPr>
      <w:spacing w:line="440" w:lineRule="exact"/>
      <w:ind w:firstLine="525"/>
    </w:pPr>
    <w:rPr>
      <w:sz w:val="28"/>
    </w:rPr>
  </w:style>
  <w:style w:type="paragraph" w:customStyle="1" w:styleId="8">
    <w:name w:val="样式 正文文本缩进 + 行距: 1.5 倍行距"/>
    <w:basedOn w:val="9"/>
    <w:next w:val="11"/>
    <w:qFormat/>
    <w:uiPriority w:val="0"/>
    <w:pPr>
      <w:adjustRightInd w:val="0"/>
      <w:snapToGrid w:val="0"/>
      <w:spacing w:line="360" w:lineRule="auto"/>
      <w:ind w:firstLine="560" w:firstLineChars="200"/>
      <w:jc w:val="center"/>
    </w:pPr>
    <w:rPr>
      <w:rFonts w:eastAsia="黑体" w:cs="宋体"/>
      <w:b/>
      <w:kern w:val="0"/>
      <w:szCs w:val="22"/>
    </w:rPr>
  </w:style>
  <w:style w:type="paragraph" w:customStyle="1" w:styleId="9">
    <w:name w:val="正文文本缩进1"/>
    <w:basedOn w:val="10"/>
    <w:next w:val="8"/>
    <w:qFormat/>
    <w:uiPriority w:val="0"/>
    <w:pPr>
      <w:spacing w:after="120"/>
      <w:ind w:left="420" w:leftChars="200"/>
    </w:pPr>
    <w:rPr>
      <w:sz w:val="24"/>
    </w:rPr>
  </w:style>
  <w:style w:type="paragraph" w:customStyle="1" w:styleId="10">
    <w:name w:val="正文1"/>
    <w:qFormat/>
    <w:uiPriority w:val="0"/>
    <w:pPr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11">
    <w:name w:val="header"/>
    <w:basedOn w:val="1"/>
    <w:next w:val="12"/>
    <w:link w:val="3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12">
    <w:name w:val="样式5"/>
    <w:basedOn w:val="13"/>
    <w:qFormat/>
    <w:uiPriority w:val="0"/>
    <w:pPr>
      <w:tabs>
        <w:tab w:val="left" w:pos="360"/>
        <w:tab w:val="left" w:pos="480"/>
        <w:tab w:val="left" w:pos="720"/>
      </w:tabs>
      <w:snapToGrid w:val="0"/>
      <w:ind w:firstLine="510"/>
    </w:pPr>
  </w:style>
  <w:style w:type="paragraph" w:customStyle="1" w:styleId="13">
    <w:name w:val="样式4"/>
    <w:basedOn w:val="14"/>
    <w:qFormat/>
    <w:uiPriority w:val="0"/>
    <w:pPr>
      <w:tabs>
        <w:tab w:val="left" w:pos="360"/>
        <w:tab w:val="left" w:pos="480"/>
        <w:tab w:val="left" w:pos="720"/>
      </w:tabs>
      <w:outlineLvl w:val="2"/>
    </w:pPr>
  </w:style>
  <w:style w:type="paragraph" w:customStyle="1" w:styleId="14">
    <w:name w:val="样式3"/>
    <w:basedOn w:val="15"/>
    <w:qFormat/>
    <w:uiPriority w:val="0"/>
    <w:pPr>
      <w:adjustRightInd w:val="0"/>
      <w:textAlignment w:val="baseline"/>
    </w:pPr>
    <w:rPr>
      <w:rFonts w:eastAsia="仿宋_GB2312"/>
      <w:kern w:val="0"/>
    </w:rPr>
  </w:style>
  <w:style w:type="paragraph" w:customStyle="1" w:styleId="15">
    <w:name w:val="样式2"/>
    <w:basedOn w:val="16"/>
    <w:qFormat/>
    <w:uiPriority w:val="0"/>
    <w:pPr>
      <w:spacing w:before="60" w:after="60"/>
      <w:jc w:val="both"/>
      <w:outlineLvl w:val="0"/>
    </w:pPr>
    <w:rPr>
      <w:rFonts w:eastAsia="黑体"/>
    </w:rPr>
  </w:style>
  <w:style w:type="paragraph" w:customStyle="1" w:styleId="16">
    <w:name w:val="正文前"/>
    <w:basedOn w:val="1"/>
    <w:semiHidden/>
    <w:qFormat/>
    <w:uiPriority w:val="0"/>
    <w:pPr>
      <w:spacing w:line="360" w:lineRule="auto"/>
      <w:jc w:val="left"/>
    </w:pPr>
    <w:rPr>
      <w:b/>
      <w:sz w:val="28"/>
    </w:rPr>
  </w:style>
  <w:style w:type="paragraph" w:styleId="17">
    <w:name w:val="Block Text"/>
    <w:basedOn w:val="1"/>
    <w:qFormat/>
    <w:uiPriority w:val="0"/>
    <w:pPr>
      <w:spacing w:after="120"/>
      <w:ind w:left="1440" w:leftChars="700" w:right="1440" w:rightChars="700"/>
    </w:pPr>
  </w:style>
  <w:style w:type="paragraph" w:styleId="18">
    <w:name w:val="Plain Text"/>
    <w:basedOn w:val="1"/>
    <w:next w:val="1"/>
    <w:link w:val="30"/>
    <w:qFormat/>
    <w:uiPriority w:val="0"/>
    <w:rPr>
      <w:rFonts w:ascii="宋体" w:hAnsi="Courier New"/>
    </w:rPr>
  </w:style>
  <w:style w:type="paragraph" w:styleId="19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20">
    <w:name w:val="Body Text Indent 3"/>
    <w:basedOn w:val="1"/>
    <w:qFormat/>
    <w:uiPriority w:val="0"/>
    <w:pPr>
      <w:spacing w:line="540" w:lineRule="exact"/>
      <w:ind w:firstLine="640" w:firstLineChars="200"/>
    </w:pPr>
    <w:rPr>
      <w:rFonts w:ascii="仿宋_GB2312" w:eastAsia="仿宋_GB2312"/>
      <w:sz w:val="32"/>
    </w:rPr>
  </w:style>
  <w:style w:type="paragraph" w:styleId="21">
    <w:name w:val="toc 2"/>
    <w:basedOn w:val="1"/>
    <w:next w:val="1"/>
    <w:qFormat/>
    <w:uiPriority w:val="0"/>
    <w:pPr>
      <w:tabs>
        <w:tab w:val="left" w:pos="810"/>
        <w:tab w:val="right" w:leader="dot" w:pos="8597"/>
      </w:tabs>
      <w:adjustRightInd w:val="0"/>
      <w:snapToGrid w:val="0"/>
      <w:spacing w:line="500" w:lineRule="exact"/>
      <w:ind w:left="227"/>
      <w:jc w:val="left"/>
      <w:textAlignment w:val="baseline"/>
    </w:pPr>
    <w:rPr>
      <w:smallCaps/>
      <w:kern w:val="0"/>
      <w:sz w:val="24"/>
      <w:szCs w:val="24"/>
    </w:rPr>
  </w:style>
  <w:style w:type="paragraph" w:styleId="22">
    <w:name w:val="Body Text First Indent"/>
    <w:basedOn w:val="6"/>
    <w:link w:val="33"/>
    <w:qFormat/>
    <w:uiPriority w:val="0"/>
    <w:pPr>
      <w:ind w:firstLine="420" w:firstLineChars="100"/>
    </w:pPr>
  </w:style>
  <w:style w:type="paragraph" w:styleId="23">
    <w:name w:val="Body Text First Indent 2"/>
    <w:basedOn w:val="7"/>
    <w:next w:val="1"/>
    <w:link w:val="59"/>
    <w:qFormat/>
    <w:uiPriority w:val="0"/>
    <w:pPr>
      <w:spacing w:after="120" w:line="240" w:lineRule="auto"/>
      <w:ind w:left="420" w:leftChars="200" w:firstLine="420" w:firstLineChars="200"/>
    </w:pPr>
    <w:rPr>
      <w:sz w:val="21"/>
    </w:rPr>
  </w:style>
  <w:style w:type="table" w:styleId="25">
    <w:name w:val="Table Grid"/>
    <w:basedOn w:val="2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7">
    <w:name w:val="page number"/>
    <w:basedOn w:val="26"/>
    <w:qFormat/>
    <w:uiPriority w:val="0"/>
  </w:style>
  <w:style w:type="character" w:styleId="28">
    <w:name w:val="Emphasis"/>
    <w:qFormat/>
    <w:uiPriority w:val="0"/>
    <w:rPr>
      <w:i/>
      <w:iCs/>
    </w:rPr>
  </w:style>
  <w:style w:type="character" w:customStyle="1" w:styleId="29">
    <w:name w:val="批注文字 Char"/>
    <w:link w:val="5"/>
    <w:qFormat/>
    <w:uiPriority w:val="0"/>
    <w:rPr>
      <w:rFonts w:eastAsia="宋体"/>
      <w:kern w:val="2"/>
      <w:sz w:val="21"/>
      <w:szCs w:val="21"/>
      <w:lang w:val="en-US" w:eastAsia="zh-CN" w:bidi="ar-SA"/>
    </w:rPr>
  </w:style>
  <w:style w:type="character" w:customStyle="1" w:styleId="30">
    <w:name w:val="纯文本 Char"/>
    <w:link w:val="18"/>
    <w:qFormat/>
    <w:uiPriority w:val="0"/>
    <w:rPr>
      <w:rFonts w:ascii="宋体" w:hAnsi="Courier New" w:eastAsia="宋体"/>
      <w:kern w:val="2"/>
      <w:sz w:val="21"/>
      <w:lang w:val="en-US" w:eastAsia="zh-CN" w:bidi="ar-SA"/>
    </w:rPr>
  </w:style>
  <w:style w:type="character" w:customStyle="1" w:styleId="31">
    <w:name w:val="页眉 Char"/>
    <w:link w:val="11"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32">
    <w:name w:val="正文文本 Char"/>
    <w:link w:val="6"/>
    <w:qFormat/>
    <w:uiPriority w:val="0"/>
    <w:rPr>
      <w:kern w:val="2"/>
      <w:sz w:val="21"/>
    </w:rPr>
  </w:style>
  <w:style w:type="character" w:customStyle="1" w:styleId="33">
    <w:name w:val="正文首行缩进 Char"/>
    <w:basedOn w:val="32"/>
    <w:link w:val="22"/>
    <w:qFormat/>
    <w:uiPriority w:val="0"/>
    <w:rPr>
      <w:kern w:val="2"/>
      <w:sz w:val="21"/>
    </w:rPr>
  </w:style>
  <w:style w:type="paragraph" w:customStyle="1" w:styleId="34">
    <w:name w:val="陈光的正文"/>
    <w:basedOn w:val="1"/>
    <w:qFormat/>
    <w:uiPriority w:val="0"/>
    <w:pPr>
      <w:adjustRightInd w:val="0"/>
      <w:snapToGrid w:val="0"/>
      <w:spacing w:beforeLines="10" w:afterLines="10" w:line="360" w:lineRule="auto"/>
      <w:ind w:firstLine="560" w:firstLineChars="200"/>
    </w:pPr>
    <w:rPr>
      <w:sz w:val="28"/>
    </w:rPr>
  </w:style>
  <w:style w:type="paragraph" w:customStyle="1" w:styleId="35">
    <w:name w:val="Char Char Char Char Char Char Char Char Char Char Char Char Char"/>
    <w:basedOn w:val="1"/>
    <w:qFormat/>
    <w:uiPriority w:val="0"/>
    <w:pPr>
      <w:snapToGrid w:val="0"/>
      <w:spacing w:line="440" w:lineRule="atLeast"/>
    </w:pPr>
    <w:rPr>
      <w:rFonts w:ascii="宋体"/>
      <w:sz w:val="24"/>
      <w:szCs w:val="24"/>
    </w:rPr>
  </w:style>
  <w:style w:type="paragraph" w:customStyle="1" w:styleId="36">
    <w:name w:val="默认段落字体 Para Char Char Char Char"/>
    <w:basedOn w:val="1"/>
    <w:qFormat/>
    <w:uiPriority w:val="0"/>
    <w:rPr>
      <w:szCs w:val="24"/>
    </w:rPr>
  </w:style>
  <w:style w:type="paragraph" w:customStyle="1" w:styleId="37">
    <w:name w:val="Char2"/>
    <w:basedOn w:val="17"/>
    <w:qFormat/>
    <w:uiPriority w:val="0"/>
    <w:pPr>
      <w:widowControl/>
      <w:spacing w:after="160" w:line="240" w:lineRule="exact"/>
      <w:jc w:val="left"/>
    </w:pPr>
    <w:rPr>
      <w:rFonts w:ascii="Txt" w:hAnsi="Txt"/>
      <w:kern w:val="0"/>
      <w:sz w:val="24"/>
      <w:szCs w:val="24"/>
      <w:lang w:eastAsia="en-US"/>
    </w:rPr>
  </w:style>
  <w:style w:type="paragraph" w:customStyle="1" w:styleId="38">
    <w:name w:val="列出段落1"/>
    <w:qFormat/>
    <w:uiPriority w:val="0"/>
    <w:pPr>
      <w:ind w:firstLine="420" w:firstLineChars="200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39">
    <w:name w:val="Char Char Char4 Char Char Char Char Char Char3"/>
    <w:basedOn w:val="1"/>
    <w:qFormat/>
    <w:uiPriority w:val="0"/>
    <w:pPr>
      <w:spacing w:line="360" w:lineRule="auto"/>
    </w:pPr>
    <w:rPr>
      <w:rFonts w:ascii="宋体"/>
      <w:sz w:val="24"/>
      <w:szCs w:val="24"/>
    </w:rPr>
  </w:style>
  <w:style w:type="paragraph" w:customStyle="1" w:styleId="40">
    <w:name w:val="_Style 16"/>
    <w:basedOn w:val="1"/>
    <w:qFormat/>
    <w:uiPriority w:val="0"/>
    <w:pPr>
      <w:widowControl/>
      <w:spacing w:after="160" w:line="240" w:lineRule="exact"/>
      <w:ind w:left="100" w:leftChars="-100" w:hanging="200" w:hangingChars="200"/>
      <w:jc w:val="left"/>
    </w:pPr>
    <w:rPr>
      <w:sz w:val="32"/>
    </w:rPr>
  </w:style>
  <w:style w:type="paragraph" w:customStyle="1" w:styleId="41">
    <w:name w:val="表格段落1"/>
    <w:basedOn w:val="1"/>
    <w:qFormat/>
    <w:uiPriority w:val="0"/>
    <w:pPr>
      <w:spacing w:line="240" w:lineRule="exact"/>
      <w:jc w:val="center"/>
    </w:pPr>
    <w:rPr>
      <w:sz w:val="24"/>
      <w:szCs w:val="24"/>
    </w:rPr>
  </w:style>
  <w:style w:type="paragraph" w:customStyle="1" w:styleId="42">
    <w:name w:val="Char Char Char Char"/>
    <w:basedOn w:val="1"/>
    <w:qFormat/>
    <w:uiPriority w:val="0"/>
  </w:style>
  <w:style w:type="paragraph" w:customStyle="1" w:styleId="43">
    <w:name w:val="char"/>
    <w:basedOn w:val="1"/>
    <w:qFormat/>
    <w:uiPriority w:val="0"/>
    <w:pPr>
      <w:widowControl/>
      <w:spacing w:beforeLines="50" w:line="360" w:lineRule="exact"/>
      <w:ind w:firstLine="496" w:firstLineChars="200"/>
    </w:pPr>
    <w:rPr>
      <w:color w:val="FF0000"/>
      <w:spacing w:val="4"/>
      <w:kern w:val="0"/>
      <w:sz w:val="24"/>
      <w:szCs w:val="24"/>
    </w:rPr>
  </w:style>
  <w:style w:type="paragraph" w:customStyle="1" w:styleId="44">
    <w:name w:val="样式1"/>
    <w:basedOn w:val="1"/>
    <w:qFormat/>
    <w:uiPriority w:val="0"/>
    <w:pPr>
      <w:spacing w:line="520" w:lineRule="exact"/>
      <w:ind w:firstLine="538" w:firstLineChars="192"/>
    </w:pPr>
    <w:rPr>
      <w:sz w:val="28"/>
      <w:szCs w:val="24"/>
    </w:rPr>
  </w:style>
  <w:style w:type="paragraph" w:customStyle="1" w:styleId="45">
    <w:name w:val="Char"/>
    <w:basedOn w:val="1"/>
    <w:next w:val="1"/>
    <w:qFormat/>
    <w:uiPriority w:val="0"/>
    <w:pPr>
      <w:spacing w:line="360" w:lineRule="auto"/>
      <w:ind w:firstLine="200" w:firstLineChars="200"/>
    </w:pPr>
    <w:rPr>
      <w:rFonts w:ascii="宋体" w:hAnsi="宋体" w:cs="宋体"/>
      <w:sz w:val="24"/>
      <w:szCs w:val="24"/>
    </w:rPr>
  </w:style>
  <w:style w:type="paragraph" w:customStyle="1" w:styleId="46">
    <w:name w:val="Char Char Char1 Char"/>
    <w:basedOn w:val="1"/>
    <w:next w:val="1"/>
    <w:qFormat/>
    <w:uiPriority w:val="0"/>
    <w:pPr>
      <w:spacing w:line="360" w:lineRule="auto"/>
      <w:ind w:firstLine="200" w:firstLineChars="200"/>
    </w:pPr>
    <w:rPr>
      <w:rFonts w:ascii="宋体" w:hAnsi="宋体" w:cs="宋体"/>
      <w:sz w:val="24"/>
      <w:szCs w:val="24"/>
    </w:rPr>
  </w:style>
  <w:style w:type="paragraph" w:customStyle="1" w:styleId="47">
    <w:name w:val="默认段落字体 Para Char"/>
    <w:basedOn w:val="1"/>
    <w:next w:val="1"/>
    <w:qFormat/>
    <w:uiPriority w:val="0"/>
    <w:pPr>
      <w:spacing w:line="360" w:lineRule="auto"/>
      <w:ind w:firstLine="200" w:firstLineChars="200"/>
    </w:pPr>
    <w:rPr>
      <w:rFonts w:ascii="宋体" w:hAnsi="宋体" w:cs="宋体"/>
      <w:sz w:val="24"/>
      <w:szCs w:val="24"/>
    </w:rPr>
  </w:style>
  <w:style w:type="paragraph" w:customStyle="1" w:styleId="48">
    <w:name w:val="Char Char Char Char Char Char Char"/>
    <w:basedOn w:val="1"/>
    <w:qFormat/>
    <w:uiPriority w:val="0"/>
    <w:rPr>
      <w:szCs w:val="24"/>
    </w:rPr>
  </w:style>
  <w:style w:type="paragraph" w:customStyle="1" w:styleId="49">
    <w:name w:val="Char Char Char Char Char Char Char Char Char Char Char Char Char Char Char Char Char Char Char Char Char Char Char Char Char"/>
    <w:basedOn w:val="1"/>
    <w:next w:val="1"/>
    <w:qFormat/>
    <w:uiPriority w:val="0"/>
    <w:pPr>
      <w:spacing w:line="360" w:lineRule="auto"/>
      <w:ind w:firstLine="200" w:firstLineChars="200"/>
    </w:pPr>
    <w:rPr>
      <w:rFonts w:ascii="宋体" w:hAnsi="宋体" w:cs="宋体"/>
      <w:sz w:val="24"/>
      <w:szCs w:val="24"/>
    </w:rPr>
  </w:style>
  <w:style w:type="paragraph" w:customStyle="1" w:styleId="50">
    <w:name w:val="Char1"/>
    <w:basedOn w:val="1"/>
    <w:qFormat/>
    <w:uiPriority w:val="0"/>
    <w:rPr>
      <w:rFonts w:ascii="Tahoma" w:hAnsi="Tahoma" w:cs="仿宋_GB2312"/>
      <w:sz w:val="24"/>
    </w:rPr>
  </w:style>
  <w:style w:type="paragraph" w:customStyle="1" w:styleId="51">
    <w:name w:val="表头"/>
    <w:basedOn w:val="1"/>
    <w:qFormat/>
    <w:uiPriority w:val="0"/>
    <w:pPr>
      <w:snapToGrid w:val="0"/>
      <w:jc w:val="center"/>
    </w:pPr>
    <w:rPr>
      <w:bCs/>
      <w:color w:val="000000"/>
      <w:szCs w:val="24"/>
    </w:rPr>
  </w:style>
  <w:style w:type="paragraph" w:customStyle="1" w:styleId="52">
    <w:name w:val="段落"/>
    <w:basedOn w:val="1"/>
    <w:qFormat/>
    <w:uiPriority w:val="0"/>
    <w:pPr>
      <w:adjustRightInd w:val="0"/>
      <w:snapToGrid w:val="0"/>
      <w:spacing w:line="400" w:lineRule="exact"/>
      <w:ind w:firstLine="510"/>
      <w:textAlignment w:val="baseline"/>
    </w:pPr>
    <w:rPr>
      <w:spacing w:val="4"/>
      <w:kern w:val="0"/>
      <w:sz w:val="24"/>
    </w:rPr>
  </w:style>
  <w:style w:type="paragraph" w:customStyle="1" w:styleId="53">
    <w:name w:val="_Style 2"/>
    <w:basedOn w:val="1"/>
    <w:qFormat/>
    <w:uiPriority w:val="0"/>
    <w:pPr>
      <w:spacing w:line="360" w:lineRule="auto"/>
      <w:ind w:firstLine="200" w:firstLineChars="200"/>
    </w:pPr>
  </w:style>
  <w:style w:type="paragraph" w:customStyle="1" w:styleId="54">
    <w:name w:val="Char Char2 Char Char"/>
    <w:basedOn w:val="1"/>
    <w:qFormat/>
    <w:uiPriority w:val="0"/>
    <w:rPr>
      <w:sz w:val="24"/>
      <w:szCs w:val="24"/>
    </w:rPr>
  </w:style>
  <w:style w:type="paragraph" w:customStyle="1" w:styleId="55">
    <w:name w:val="Default"/>
    <w:qFormat/>
    <w:uiPriority w:val="0"/>
    <w:pPr>
      <w:widowControl w:val="0"/>
      <w:autoSpaceDE w:val="0"/>
      <w:autoSpaceDN w:val="0"/>
      <w:adjustRightInd w:val="0"/>
    </w:pPr>
    <w:rPr>
      <w:rFonts w:ascii="Times" w:hAnsi="Times" w:eastAsia="宋体" w:cs="Times New Roman"/>
      <w:color w:val="000000"/>
      <w:sz w:val="24"/>
      <w:szCs w:val="24"/>
      <w:lang w:val="en-US" w:eastAsia="zh-CN" w:bidi="ar-SA"/>
    </w:rPr>
  </w:style>
  <w:style w:type="paragraph" w:customStyle="1" w:styleId="56">
    <w:name w:val="样式 样式 样式 样式 小四 左 首行缩进:  2 字符 + 首行缩进:  2 字符 Char + 右  0 字符1 + 首行缩...3"/>
    <w:basedOn w:val="1"/>
    <w:qFormat/>
    <w:uiPriority w:val="99"/>
    <w:pPr>
      <w:adjustRightInd w:val="0"/>
      <w:spacing w:line="360" w:lineRule="auto"/>
      <w:ind w:firstLine="480" w:firstLineChars="200"/>
      <w:jc w:val="left"/>
    </w:pPr>
    <w:rPr>
      <w:rFonts w:cs="宋体"/>
      <w:sz w:val="24"/>
    </w:rPr>
  </w:style>
  <w:style w:type="paragraph" w:customStyle="1" w:styleId="57">
    <w:name w:val="样式 正文文本 + 首行缩进:  2 字符"/>
    <w:basedOn w:val="6"/>
    <w:qFormat/>
    <w:uiPriority w:val="0"/>
    <w:pPr>
      <w:spacing w:after="0" w:line="360" w:lineRule="auto"/>
      <w:ind w:firstLine="480" w:firstLineChars="200"/>
    </w:pPr>
    <w:rPr>
      <w:sz w:val="24"/>
      <w:szCs w:val="24"/>
    </w:rPr>
  </w:style>
  <w:style w:type="character" w:customStyle="1" w:styleId="58">
    <w:name w:val="正文文本缩进 Char"/>
    <w:basedOn w:val="26"/>
    <w:link w:val="7"/>
    <w:qFormat/>
    <w:uiPriority w:val="0"/>
    <w:rPr>
      <w:rFonts w:ascii="Times New Roman" w:hAnsi="Times New Roman"/>
      <w:kern w:val="2"/>
      <w:sz w:val="28"/>
    </w:rPr>
  </w:style>
  <w:style w:type="character" w:customStyle="1" w:styleId="59">
    <w:name w:val="正文首行缩进 2 Char"/>
    <w:basedOn w:val="58"/>
    <w:link w:val="23"/>
    <w:qFormat/>
    <w:uiPriority w:val="0"/>
    <w:rPr>
      <w:rFonts w:ascii="Times New Roman" w:hAnsi="Times New Roman"/>
      <w:kern w:val="2"/>
      <w:sz w:val="21"/>
    </w:rPr>
  </w:style>
  <w:style w:type="paragraph" w:styleId="60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wimxt.com</Company>
  <Pages>6</Pages>
  <Words>3802</Words>
  <Characters>4978</Characters>
  <Lines>36</Lines>
  <Paragraphs>10</Paragraphs>
  <TotalTime>2</TotalTime>
  <ScaleCrop>false</ScaleCrop>
  <LinksUpToDate>false</LinksUpToDate>
  <CharactersWithSpaces>5001</CharactersWithSpaces>
  <Application>WPS Office_11.8.2.8875_F1E327BC-269C-435d-A152-05C5408002CA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2022-03-30T07:59:00Z</dcterms:created>
  <dc:creator>Administrator</dc:creator>
  <cp:lastModifiedBy>l</cp:lastModifiedBy>
  <cp:lastPrinted>2010-12-27T07:39:00Z</cp:lastPrinted>
  <dcterms:modified xsi:type="dcterms:W3CDTF">2026-05-21T06:57:07Z</dcterms:modified>
  <dc:title>淄博鲁中水泥有限公司12MW热电联产技术改造项目</dc:title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2052-11.8.2.8875</vt:lpwstr>
  </property>
  <property fmtid="{D5CDD505-2E9C-101B-9397-08002B2CF9AE}" pid="3" name="KSOTemplateDocerSaveRecord">
    <vt:lpwstr>eyJoZGlkIjoiNDM0MzIyNDcxODhlMDM0Yzc2YmEyZDhmYjg2YjhjMjMiLCJ1c2VySWQiOiI0MzQ5NzE4NDQifQ==</vt:lpwstr>
  </property>
  <property fmtid="{D5CDD505-2E9C-101B-9397-08002B2CF9AE}" pid="4" name="ICV">
    <vt:lpwstr>2A00C25686A244509A916F6CC439A2CD_12</vt:lpwstr>
  </property>
</Properties>
</file>